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BE" w:rsidRPr="00B7799B" w:rsidRDefault="00501FBE" w:rsidP="003F677D">
      <w:pPr>
        <w:spacing w:after="0" w:line="240" w:lineRule="atLeast"/>
        <w:ind w:left="4479" w:firstLine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7799B">
        <w:rPr>
          <w:rFonts w:ascii="Times New Roman" w:hAnsi="Times New Roman"/>
          <w:b/>
          <w:sz w:val="28"/>
          <w:szCs w:val="28"/>
          <w:lang w:val="uk-UA"/>
        </w:rPr>
        <w:t xml:space="preserve">Затверджено </w:t>
      </w:r>
    </w:p>
    <w:p w:rsidR="00501FBE" w:rsidRPr="00B7799B" w:rsidRDefault="00501FBE" w:rsidP="003F677D">
      <w:pPr>
        <w:spacing w:after="0" w:line="240" w:lineRule="atLeast"/>
        <w:ind w:left="4479" w:firstLine="5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Наказ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29.07.2014 №29/94  (Із змінами внесеними згідно наказу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районного управління юстиції 06.10.2015 №46/94</w:t>
      </w:r>
    </w:p>
    <w:p w:rsidR="00501FBE" w:rsidRPr="00501FBE" w:rsidRDefault="00501FBE" w:rsidP="003F677D">
      <w:pPr>
        <w:spacing w:after="0" w:line="240" w:lineRule="auto"/>
      </w:pPr>
    </w:p>
    <w:p w:rsidR="00501FBE" w:rsidRPr="0002778A" w:rsidRDefault="00501FBE" w:rsidP="003F67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>ІНФОРМАЦІЙНА</w:t>
      </w:r>
    </w:p>
    <w:p w:rsidR="00501FBE" w:rsidRPr="0002778A" w:rsidRDefault="00501FBE" w:rsidP="003F67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02778A">
        <w:rPr>
          <w:rFonts w:ascii="Times New Roman" w:hAnsi="Times New Roman"/>
          <w:b/>
          <w:sz w:val="24"/>
          <w:szCs w:val="24"/>
          <w:lang w:val="uk-UA"/>
        </w:rPr>
        <w:t xml:space="preserve">   картка адміністративної послуги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927"/>
      </w:tblGrid>
      <w:tr w:rsidR="00501FBE" w:rsidRPr="0010472C" w:rsidTr="0023742F">
        <w:trPr>
          <w:trHeight w:val="421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облік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майна.</w:t>
            </w:r>
          </w:p>
        </w:tc>
      </w:tr>
      <w:tr w:rsidR="00501FBE" w:rsidRPr="0059078F" w:rsidTr="0023742F"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Суб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</w:t>
            </w:r>
            <w:proofErr w:type="spellEnd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надання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</w:tr>
      <w:tr w:rsidR="00501FBE" w:rsidRPr="0010472C" w:rsidTr="0023742F">
        <w:trPr>
          <w:trHeight w:val="1134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Категорія </w:t>
            </w:r>
            <w:proofErr w:type="spellStart"/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отримувача</w:t>
            </w:r>
            <w:proofErr w:type="spellEnd"/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рган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місцевого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самоврядування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1FBE" w:rsidRPr="0010472C" w:rsidTr="0023742F">
        <w:trPr>
          <w:trHeight w:val="562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Платність послуги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послуга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надається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безоплатно.</w:t>
            </w:r>
          </w:p>
          <w:p w:rsidR="00501FBE" w:rsidRPr="0010472C" w:rsidRDefault="00501FBE" w:rsidP="003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FBE" w:rsidRPr="0010472C" w:rsidTr="0023742F"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надання послуги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Послуга н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адається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день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заяви.</w:t>
            </w:r>
          </w:p>
        </w:tc>
      </w:tr>
      <w:tr w:rsidR="00501FBE" w:rsidRPr="0010472C" w:rsidTr="0023742F">
        <w:trPr>
          <w:trHeight w:val="703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Способи отримання результату</w:t>
            </w: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Шляхом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</w:t>
            </w:r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суб’єкту надання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адіміністративних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послуг особисто (уповноваженою 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особою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поштою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або електронним зв’язком </w:t>
            </w:r>
          </w:p>
        </w:tc>
      </w:tr>
      <w:tr w:rsidR="00501FBE" w:rsidRPr="0010472C" w:rsidTr="0023742F"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Перелік документів для отримання послуги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ік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майна. Форма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затверджена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наказом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Міністерства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юстиції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17.04.2012 № 595/5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впорядкування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державною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реєстрацією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47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sz w:val="24"/>
                <w:szCs w:val="24"/>
              </w:rPr>
              <w:t>ідтверджує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повноваження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Заявник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додатково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пред’являє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документ,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посадову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особу.</w:t>
            </w:r>
          </w:p>
        </w:tc>
      </w:tr>
      <w:tr w:rsidR="00501FBE" w:rsidRPr="0059078F" w:rsidTr="0023742F"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Законодавчі акти, що передбачають надання послуги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Частина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15 Закону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(http://zakon4.rada.gov.ua/laws/show/1952-15)</w:t>
            </w:r>
          </w:p>
        </w:tc>
      </w:tr>
      <w:tr w:rsidR="00501FBE" w:rsidRPr="0010472C" w:rsidTr="0023742F">
        <w:trPr>
          <w:trHeight w:val="741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Результат надання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01FBE" w:rsidRPr="0010472C" w:rsidTr="0023742F">
        <w:trPr>
          <w:trHeight w:val="7461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Підстави для відмови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взятті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може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бути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відмовлено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безхазяйне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ідлягає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обліку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закону;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його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частина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розміщені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території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наякій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проводить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прав;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звернулася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неналежна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особа;</w:t>
            </w:r>
          </w:p>
          <w:p w:rsidR="00501FBE" w:rsidRPr="0010472C" w:rsidRDefault="00501FBE" w:rsidP="003F677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та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базах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використовує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державний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реєстратор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містяться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подано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державну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обтяжень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речових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таке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Державному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реє</w:t>
            </w:r>
            <w:proofErr w:type="gram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стр</w:t>
            </w:r>
            <w:proofErr w:type="gram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відсутні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записи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нерухоме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зв’язку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власника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разі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підставою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місцевого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заявою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взяття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облік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безхазяйного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є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відмова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власника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свого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10472C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501FBE" w:rsidRPr="0010472C" w:rsidTr="0023742F">
        <w:trPr>
          <w:trHeight w:val="481"/>
        </w:trPr>
        <w:tc>
          <w:tcPr>
            <w:tcW w:w="4644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Порядок оскарження</w:t>
            </w: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В судовому порядку</w:t>
            </w:r>
          </w:p>
        </w:tc>
      </w:tr>
      <w:tr w:rsidR="00501FBE" w:rsidRPr="0059078F" w:rsidTr="0023742F">
        <w:tc>
          <w:tcPr>
            <w:tcW w:w="4644" w:type="dxa"/>
            <w:vMerge w:val="restart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 отримати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F220FA" w:rsidRDefault="00501FBE" w:rsidP="003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Сектор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тел. 5-25-78, 5-25-90.</w:t>
            </w:r>
          </w:p>
          <w:p w:rsidR="00501FBE" w:rsidRPr="0010472C" w:rsidRDefault="00501FBE" w:rsidP="003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тел. 5-26-48.</w:t>
            </w:r>
          </w:p>
        </w:tc>
      </w:tr>
      <w:tr w:rsidR="00501FBE" w:rsidRPr="0010472C" w:rsidTr="0023742F">
        <w:tc>
          <w:tcPr>
            <w:tcW w:w="4644" w:type="dxa"/>
            <w:vMerge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F220FA" w:rsidRDefault="00501FBE" w:rsidP="003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Сектор державної реєстрації речових прав на нерухоме майно 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Комінтерна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501FBE" w:rsidRPr="0010472C" w:rsidRDefault="00501FBE" w:rsidP="003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Центр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адміністрації: Сумська область,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Недригайлівський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смтНедригайлів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, вул.   Леніна, 4</w:t>
            </w:r>
          </w:p>
        </w:tc>
      </w:tr>
      <w:tr w:rsidR="00501FBE" w:rsidRPr="0010472C" w:rsidTr="0023742F">
        <w:tc>
          <w:tcPr>
            <w:tcW w:w="4644" w:type="dxa"/>
            <w:vMerge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секторі державної реєстрації речових прав на нерухоме майно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районного управління юстиції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lastRenderedPageBreak/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понеділок-четвер              - з 8-00 до 17-15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8-00 до 16-00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субота, неділя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Перерва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                              з 12-00 до 13-00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Прийомні дні з усіх питань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    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                            - з  9-00 до 17-00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                              - з  9-00 до 17-00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середа                                  - з  9-00 до 20-00 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четвер                                  - з  9-00 до 17-00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                             - з   9-00 до 16-00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субота                                  - з  9-00 до 16-00  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Графік 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роботи та прийому громадян у центрі надання адміністративних послуг </w:t>
            </w:r>
            <w:proofErr w:type="spellStart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районної державної адміністрації.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Робочі дні та години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              - з 8-00 до 17-15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вівторок, четвер                 - з 8.00 до  20.00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>п’ятниця, субота                - з 8-00 до 16-00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Вихідні дні: </w:t>
            </w:r>
            <w:r w:rsidRPr="00F2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неділя</w:t>
            </w: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F220FA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0FA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Робота  без перерви</w:t>
            </w:r>
          </w:p>
          <w:p w:rsidR="00501FBE" w:rsidRPr="00643129" w:rsidRDefault="00501FBE" w:rsidP="003F677D">
            <w:pPr>
              <w:tabs>
                <w:tab w:val="left" w:pos="4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01FBE" w:rsidRPr="0010472C" w:rsidRDefault="00501FBE" w:rsidP="003F677D">
            <w:pPr>
              <w:tabs>
                <w:tab w:val="left" w:pos="4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01FBE" w:rsidRPr="0010472C" w:rsidTr="0023742F">
        <w:tc>
          <w:tcPr>
            <w:tcW w:w="4644" w:type="dxa"/>
            <w:vMerge w:val="restart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Сфера надання згідно додатку 3</w:t>
            </w:r>
          </w:p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sz w:val="24"/>
                <w:szCs w:val="24"/>
                <w:lang w:val="uk-UA"/>
              </w:rPr>
              <w:t>9.1</w:t>
            </w:r>
          </w:p>
        </w:tc>
      </w:tr>
      <w:tr w:rsidR="00501FBE" w:rsidRPr="0010472C" w:rsidTr="0023742F">
        <w:tc>
          <w:tcPr>
            <w:tcW w:w="4644" w:type="dxa"/>
            <w:vMerge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01FBE" w:rsidRPr="0010472C" w:rsidTr="0023742F">
        <w:tc>
          <w:tcPr>
            <w:tcW w:w="4644" w:type="dxa"/>
            <w:vMerge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01FBE" w:rsidRPr="0010472C" w:rsidTr="0023742F">
        <w:tc>
          <w:tcPr>
            <w:tcW w:w="4644" w:type="dxa"/>
            <w:vMerge w:val="restart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Послуга надається ЦНАП</w:t>
            </w: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10472C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так</w:t>
            </w:r>
          </w:p>
        </w:tc>
      </w:tr>
      <w:tr w:rsidR="00501FBE" w:rsidRPr="0010472C" w:rsidTr="0023742F">
        <w:trPr>
          <w:trHeight w:val="263"/>
        </w:trPr>
        <w:tc>
          <w:tcPr>
            <w:tcW w:w="4644" w:type="dxa"/>
            <w:vMerge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01FBE" w:rsidRPr="0010472C" w:rsidRDefault="00501FBE" w:rsidP="003F677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01FBE" w:rsidRPr="003F240A" w:rsidRDefault="00501FBE" w:rsidP="003F677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01FBE" w:rsidRDefault="00501FBE" w:rsidP="003F67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</w:t>
      </w:r>
    </w:p>
    <w:p w:rsidR="00501FBE" w:rsidRDefault="00501FBE" w:rsidP="003F67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1FBE" w:rsidRDefault="00501FBE" w:rsidP="003F67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1FBE" w:rsidRDefault="00501FBE" w:rsidP="003F67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01FBE" w:rsidRPr="00501FBE" w:rsidRDefault="00501FBE" w:rsidP="003F677D">
      <w:pPr>
        <w:spacing w:after="0" w:line="240" w:lineRule="auto"/>
        <w:rPr>
          <w:lang w:val="en-US"/>
        </w:rPr>
      </w:pPr>
    </w:p>
    <w:sectPr w:rsidR="00501FBE" w:rsidRPr="00501FBE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501FBE"/>
    <w:rsid w:val="002A7D02"/>
    <w:rsid w:val="003F677D"/>
    <w:rsid w:val="00501FBE"/>
    <w:rsid w:val="0090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2015-10-21T12:40:00Z</dcterms:created>
  <dcterms:modified xsi:type="dcterms:W3CDTF">2015-10-21T12:42:00Z</dcterms:modified>
</cp:coreProperties>
</file>