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416" w:rsidRPr="009F58CA" w:rsidRDefault="00A64416" w:rsidP="00A64416">
      <w:pPr>
        <w:spacing w:after="0" w:line="240" w:lineRule="auto"/>
        <w:rPr>
          <w:rFonts w:ascii="Times New Roman" w:hAnsi="Times New Roman" w:cs="Times New Roman"/>
          <w:sz w:val="28"/>
          <w:szCs w:val="28"/>
          <w:lang w:val="uk-UA"/>
        </w:rPr>
      </w:pPr>
      <w:r w:rsidRPr="009F58CA">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2971800</wp:posOffset>
            </wp:positionH>
            <wp:positionV relativeFrom="paragraph">
              <wp:posOffset>26670</wp:posOffset>
            </wp:positionV>
            <wp:extent cx="513080" cy="6438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13080" cy="643890"/>
                    </a:xfrm>
                    <a:prstGeom prst="rect">
                      <a:avLst/>
                    </a:prstGeom>
                    <a:noFill/>
                    <a:ln w="9525">
                      <a:noFill/>
                      <a:miter lim="800000"/>
                      <a:headEnd/>
                      <a:tailEnd/>
                    </a:ln>
                  </pic:spPr>
                </pic:pic>
              </a:graphicData>
            </a:graphic>
          </wp:anchor>
        </w:drawing>
      </w:r>
    </w:p>
    <w:p w:rsidR="00A64416" w:rsidRPr="009F58CA" w:rsidRDefault="00A64416" w:rsidP="00A64416">
      <w:pPr>
        <w:spacing w:after="0" w:line="240" w:lineRule="auto"/>
        <w:rPr>
          <w:rFonts w:ascii="Times New Roman" w:hAnsi="Times New Roman" w:cs="Times New Roman"/>
          <w:sz w:val="28"/>
          <w:szCs w:val="28"/>
          <w:lang w:val="uk-UA"/>
        </w:rPr>
      </w:pPr>
    </w:p>
    <w:p w:rsidR="00A64416" w:rsidRPr="009F58CA" w:rsidRDefault="00A64416" w:rsidP="00A64416">
      <w:pPr>
        <w:spacing w:after="0" w:line="240" w:lineRule="auto"/>
        <w:ind w:firstLine="7020"/>
        <w:jc w:val="center"/>
        <w:rPr>
          <w:rFonts w:ascii="Times New Roman" w:hAnsi="Times New Roman" w:cs="Times New Roman"/>
          <w:noProof/>
          <w:sz w:val="28"/>
          <w:szCs w:val="28"/>
          <w:lang w:val="uk-UA"/>
        </w:rPr>
      </w:pPr>
      <w:r w:rsidRPr="009F58CA">
        <w:rPr>
          <w:rFonts w:ascii="Times New Roman" w:hAnsi="Times New Roman" w:cs="Times New Roman"/>
          <w:sz w:val="28"/>
          <w:szCs w:val="28"/>
          <w:lang w:val="uk-UA"/>
        </w:rPr>
        <w:t xml:space="preserve"> </w:t>
      </w:r>
    </w:p>
    <w:p w:rsidR="00A64416" w:rsidRPr="009F58CA" w:rsidRDefault="00A64416" w:rsidP="00A64416">
      <w:pPr>
        <w:pStyle w:val="3"/>
        <w:rPr>
          <w:sz w:val="28"/>
          <w:szCs w:val="28"/>
          <w:lang w:val="uk-UA"/>
        </w:rPr>
      </w:pPr>
    </w:p>
    <w:p w:rsidR="00A64416" w:rsidRPr="009F58CA" w:rsidRDefault="00A64416" w:rsidP="00A64416">
      <w:pPr>
        <w:pStyle w:val="1"/>
        <w:ind w:firstLine="0"/>
        <w:jc w:val="center"/>
        <w:rPr>
          <w:b/>
          <w:bCs/>
          <w:szCs w:val="28"/>
        </w:rPr>
      </w:pPr>
      <w:r w:rsidRPr="009F58CA">
        <w:rPr>
          <w:b/>
          <w:bCs/>
          <w:szCs w:val="28"/>
        </w:rPr>
        <w:t xml:space="preserve">    У К Р А Ї Н А</w:t>
      </w:r>
    </w:p>
    <w:p w:rsidR="00A64416" w:rsidRPr="009F58CA" w:rsidRDefault="00A64416" w:rsidP="00A64416">
      <w:pPr>
        <w:pStyle w:val="1"/>
        <w:jc w:val="center"/>
        <w:rPr>
          <w:b/>
          <w:bCs/>
          <w:szCs w:val="28"/>
        </w:rPr>
      </w:pPr>
      <w:r w:rsidRPr="009F58CA">
        <w:rPr>
          <w:b/>
          <w:bCs/>
          <w:szCs w:val="28"/>
        </w:rPr>
        <w:t>НЕДРИГАЙЛІВСЬКА РАЙОННА РАДА</w:t>
      </w:r>
    </w:p>
    <w:p w:rsidR="00A64416" w:rsidRPr="009F58CA" w:rsidRDefault="00A64416" w:rsidP="00A64416">
      <w:pPr>
        <w:spacing w:after="0" w:line="240" w:lineRule="auto"/>
        <w:jc w:val="center"/>
        <w:rPr>
          <w:rFonts w:ascii="Times New Roman" w:hAnsi="Times New Roman" w:cs="Times New Roman"/>
          <w:b/>
          <w:sz w:val="28"/>
          <w:szCs w:val="28"/>
          <w:lang w:val="uk-UA"/>
        </w:rPr>
      </w:pPr>
      <w:r w:rsidRPr="009F58CA">
        <w:rPr>
          <w:rFonts w:ascii="Times New Roman" w:hAnsi="Times New Roman" w:cs="Times New Roman"/>
          <w:b/>
          <w:sz w:val="28"/>
          <w:szCs w:val="28"/>
          <w:lang w:val="uk-UA"/>
        </w:rPr>
        <w:t>СЬОМЕ СКЛИКАННЯ</w:t>
      </w:r>
    </w:p>
    <w:p w:rsidR="00A64416" w:rsidRPr="009F58CA" w:rsidRDefault="00A64416" w:rsidP="00A64416">
      <w:pPr>
        <w:spacing w:after="0" w:line="240" w:lineRule="auto"/>
        <w:jc w:val="center"/>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____________</w:t>
      </w:r>
      <w:r w:rsidRPr="009F58CA">
        <w:rPr>
          <w:rFonts w:ascii="Times New Roman" w:hAnsi="Times New Roman" w:cs="Times New Roman"/>
          <w:b/>
          <w:sz w:val="28"/>
          <w:szCs w:val="28"/>
          <w:lang w:val="uk-UA"/>
        </w:rPr>
        <w:t>сесія</w:t>
      </w:r>
      <w:proofErr w:type="spellEnd"/>
    </w:p>
    <w:p w:rsidR="00A64416" w:rsidRPr="009F58CA" w:rsidRDefault="00A64416" w:rsidP="00A64416">
      <w:pPr>
        <w:spacing w:after="0" w:line="240" w:lineRule="auto"/>
        <w:jc w:val="center"/>
        <w:rPr>
          <w:rFonts w:ascii="Times New Roman" w:hAnsi="Times New Roman" w:cs="Times New Roman"/>
          <w:b/>
          <w:sz w:val="28"/>
          <w:szCs w:val="28"/>
          <w:lang w:val="uk-UA"/>
        </w:rPr>
      </w:pPr>
    </w:p>
    <w:p w:rsidR="00A64416" w:rsidRPr="009F58CA" w:rsidRDefault="00A64416" w:rsidP="00A64416">
      <w:pPr>
        <w:spacing w:after="0" w:line="240" w:lineRule="auto"/>
        <w:jc w:val="center"/>
        <w:rPr>
          <w:rFonts w:ascii="Times New Roman" w:hAnsi="Times New Roman" w:cs="Times New Roman"/>
          <w:b/>
          <w:sz w:val="28"/>
          <w:szCs w:val="28"/>
          <w:lang w:val="uk-UA"/>
        </w:rPr>
      </w:pPr>
      <w:r w:rsidRPr="009F58CA">
        <w:rPr>
          <w:rFonts w:ascii="Times New Roman" w:hAnsi="Times New Roman" w:cs="Times New Roman"/>
          <w:b/>
          <w:sz w:val="28"/>
          <w:szCs w:val="28"/>
          <w:lang w:val="uk-UA"/>
        </w:rPr>
        <w:t>РІШЕННЯ</w:t>
      </w:r>
    </w:p>
    <w:p w:rsidR="00A64416" w:rsidRPr="009F58CA" w:rsidRDefault="00A64416" w:rsidP="00A64416">
      <w:pPr>
        <w:spacing w:after="0" w:line="240" w:lineRule="auto"/>
        <w:rPr>
          <w:rFonts w:ascii="Times New Roman" w:hAnsi="Times New Roman" w:cs="Times New Roman"/>
          <w:b/>
          <w:sz w:val="28"/>
          <w:szCs w:val="28"/>
          <w:lang w:val="uk-UA"/>
        </w:rPr>
      </w:pPr>
    </w:p>
    <w:p w:rsidR="00A64416" w:rsidRPr="009F58CA" w:rsidRDefault="00A64416" w:rsidP="00A64416">
      <w:pPr>
        <w:spacing w:after="0" w:line="240" w:lineRule="auto"/>
        <w:rPr>
          <w:rFonts w:ascii="Times New Roman" w:hAnsi="Times New Roman" w:cs="Times New Roman"/>
          <w:b/>
          <w:sz w:val="28"/>
          <w:szCs w:val="28"/>
          <w:lang w:val="uk-UA"/>
        </w:rPr>
      </w:pPr>
      <w:r w:rsidRPr="009F58CA">
        <w:rPr>
          <w:rFonts w:ascii="Times New Roman" w:hAnsi="Times New Roman" w:cs="Times New Roman"/>
          <w:b/>
          <w:sz w:val="28"/>
          <w:szCs w:val="28"/>
          <w:lang w:val="uk-UA"/>
        </w:rPr>
        <w:t xml:space="preserve">____________________                  </w:t>
      </w:r>
      <w:proofErr w:type="spellStart"/>
      <w:r w:rsidRPr="009F58CA">
        <w:rPr>
          <w:rFonts w:ascii="Times New Roman" w:hAnsi="Times New Roman" w:cs="Times New Roman"/>
          <w:b/>
          <w:sz w:val="28"/>
          <w:szCs w:val="28"/>
          <w:lang w:val="uk-UA"/>
        </w:rPr>
        <w:t>Недригайлів</w:t>
      </w:r>
      <w:proofErr w:type="spellEnd"/>
    </w:p>
    <w:p w:rsidR="00A64416" w:rsidRPr="009F58CA" w:rsidRDefault="00A64416" w:rsidP="00A64416">
      <w:pPr>
        <w:spacing w:after="0" w:line="240" w:lineRule="auto"/>
        <w:rPr>
          <w:rFonts w:ascii="Times New Roman" w:hAnsi="Times New Roman" w:cs="Times New Roman"/>
          <w:b/>
          <w:sz w:val="28"/>
          <w:szCs w:val="28"/>
          <w:lang w:val="uk-UA"/>
        </w:rPr>
      </w:pPr>
    </w:p>
    <w:p w:rsidR="00AD400D" w:rsidRPr="00AD400D" w:rsidRDefault="00A64416" w:rsidP="00AD400D">
      <w:pPr>
        <w:shd w:val="clear" w:color="auto" w:fill="FFFFFF"/>
        <w:spacing w:after="0" w:line="240" w:lineRule="auto"/>
        <w:jc w:val="both"/>
        <w:rPr>
          <w:rFonts w:ascii="Times New Roman" w:hAnsi="Times New Roman" w:cs="Times New Roman"/>
          <w:b/>
          <w:bCs/>
          <w:color w:val="000000"/>
          <w:sz w:val="28"/>
          <w:szCs w:val="28"/>
          <w:lang w:val="uk-UA"/>
        </w:rPr>
      </w:pPr>
      <w:r w:rsidRPr="00AD400D">
        <w:rPr>
          <w:rFonts w:ascii="Times New Roman" w:hAnsi="Times New Roman" w:cs="Times New Roman"/>
          <w:b/>
          <w:sz w:val="28"/>
          <w:szCs w:val="28"/>
          <w:lang w:val="uk-UA"/>
        </w:rPr>
        <w:t xml:space="preserve">Про внесення змін та доповнень до </w:t>
      </w:r>
      <w:r w:rsidR="00AD400D" w:rsidRPr="00AD400D">
        <w:rPr>
          <w:rFonts w:ascii="Times New Roman" w:hAnsi="Times New Roman" w:cs="Times New Roman"/>
          <w:b/>
          <w:bCs/>
          <w:color w:val="000000"/>
          <w:sz w:val="28"/>
          <w:szCs w:val="28"/>
          <w:lang w:val="uk-UA"/>
        </w:rPr>
        <w:t>Програм</w:t>
      </w:r>
      <w:r w:rsidR="00AD400D">
        <w:rPr>
          <w:rFonts w:ascii="Times New Roman" w:hAnsi="Times New Roman" w:cs="Times New Roman"/>
          <w:b/>
          <w:bCs/>
          <w:color w:val="000000"/>
          <w:sz w:val="28"/>
          <w:szCs w:val="28"/>
          <w:lang w:val="uk-UA"/>
        </w:rPr>
        <w:t>и</w:t>
      </w:r>
    </w:p>
    <w:p w:rsidR="00AD400D" w:rsidRDefault="00AD400D" w:rsidP="00AD400D">
      <w:pPr>
        <w:shd w:val="clear" w:color="auto" w:fill="FFFFFF"/>
        <w:spacing w:after="0" w:line="240" w:lineRule="auto"/>
        <w:jc w:val="both"/>
        <w:rPr>
          <w:rFonts w:ascii="Times New Roman" w:hAnsi="Times New Roman" w:cs="Times New Roman"/>
          <w:b/>
          <w:bCs/>
          <w:color w:val="000000"/>
          <w:sz w:val="28"/>
          <w:szCs w:val="28"/>
          <w:lang w:val="uk-UA"/>
        </w:rPr>
      </w:pPr>
      <w:r w:rsidRPr="00AD400D">
        <w:rPr>
          <w:rFonts w:ascii="Times New Roman" w:hAnsi="Times New Roman" w:cs="Times New Roman"/>
          <w:b/>
          <w:bCs/>
          <w:color w:val="000000"/>
          <w:sz w:val="28"/>
          <w:szCs w:val="28"/>
          <w:lang w:val="uk-UA"/>
        </w:rPr>
        <w:t xml:space="preserve">розвитку  сільських територій </w:t>
      </w:r>
    </w:p>
    <w:p w:rsidR="00AD400D" w:rsidRPr="00AD400D" w:rsidRDefault="00AD400D" w:rsidP="00AD400D">
      <w:pPr>
        <w:shd w:val="clear" w:color="auto" w:fill="FFFFFF"/>
        <w:spacing w:after="0" w:line="240" w:lineRule="auto"/>
        <w:jc w:val="both"/>
        <w:rPr>
          <w:rFonts w:ascii="Times New Roman" w:hAnsi="Times New Roman" w:cs="Times New Roman"/>
          <w:b/>
          <w:bCs/>
          <w:color w:val="000000"/>
          <w:sz w:val="28"/>
          <w:szCs w:val="28"/>
          <w:lang w:val="uk-UA"/>
        </w:rPr>
      </w:pPr>
      <w:r w:rsidRPr="00AD400D">
        <w:rPr>
          <w:rFonts w:ascii="Times New Roman" w:hAnsi="Times New Roman" w:cs="Times New Roman"/>
          <w:b/>
          <w:bCs/>
          <w:color w:val="000000"/>
          <w:sz w:val="28"/>
          <w:szCs w:val="28"/>
          <w:lang w:val="uk-UA"/>
        </w:rPr>
        <w:t>Недригайлівського району</w:t>
      </w:r>
    </w:p>
    <w:p w:rsidR="00AD400D" w:rsidRPr="00AD400D" w:rsidRDefault="00AD400D" w:rsidP="00AD400D">
      <w:pPr>
        <w:shd w:val="clear" w:color="auto" w:fill="FFFFFF"/>
        <w:spacing w:after="0" w:line="240" w:lineRule="auto"/>
        <w:jc w:val="both"/>
        <w:rPr>
          <w:rFonts w:ascii="Times New Roman" w:hAnsi="Times New Roman" w:cs="Times New Roman"/>
          <w:b/>
          <w:bCs/>
          <w:color w:val="000000"/>
          <w:sz w:val="28"/>
          <w:szCs w:val="28"/>
          <w:lang w:val="uk-UA"/>
        </w:rPr>
      </w:pPr>
      <w:r w:rsidRPr="00AD400D">
        <w:rPr>
          <w:rFonts w:ascii="Times New Roman" w:hAnsi="Times New Roman" w:cs="Times New Roman"/>
          <w:b/>
          <w:bCs/>
          <w:color w:val="000000"/>
          <w:sz w:val="28"/>
          <w:szCs w:val="28"/>
          <w:lang w:val="uk-UA"/>
        </w:rPr>
        <w:t>на період до 2020 року</w:t>
      </w:r>
    </w:p>
    <w:p w:rsidR="00A64416" w:rsidRPr="009F58CA" w:rsidRDefault="00A64416" w:rsidP="00AD400D">
      <w:pPr>
        <w:spacing w:after="0" w:line="240" w:lineRule="auto"/>
        <w:rPr>
          <w:rFonts w:ascii="Times New Roman" w:hAnsi="Times New Roman" w:cs="Times New Roman"/>
          <w:b/>
          <w:sz w:val="28"/>
          <w:szCs w:val="28"/>
          <w:lang w:val="uk-UA"/>
        </w:rPr>
      </w:pPr>
    </w:p>
    <w:p w:rsidR="00A64416" w:rsidRPr="009F58CA" w:rsidRDefault="00A64416" w:rsidP="00A64416">
      <w:pPr>
        <w:spacing w:after="0" w:line="240" w:lineRule="auto"/>
        <w:ind w:firstLine="900"/>
        <w:jc w:val="both"/>
        <w:rPr>
          <w:rFonts w:ascii="Times New Roman" w:hAnsi="Times New Roman" w:cs="Times New Roman"/>
          <w:sz w:val="28"/>
          <w:szCs w:val="28"/>
          <w:lang w:val="uk-UA"/>
        </w:rPr>
      </w:pPr>
      <w:r w:rsidRPr="009F58CA">
        <w:rPr>
          <w:rFonts w:ascii="Times New Roman" w:hAnsi="Times New Roman" w:cs="Times New Roman"/>
          <w:sz w:val="28"/>
          <w:szCs w:val="28"/>
          <w:lang w:val="uk-UA"/>
        </w:rPr>
        <w:t xml:space="preserve">Розглянувши пропозиції </w:t>
      </w:r>
      <w:proofErr w:type="spellStart"/>
      <w:r w:rsidRPr="009F58CA">
        <w:rPr>
          <w:rFonts w:ascii="Times New Roman" w:hAnsi="Times New Roman" w:cs="Times New Roman"/>
          <w:sz w:val="28"/>
          <w:szCs w:val="28"/>
          <w:lang w:val="uk-UA"/>
        </w:rPr>
        <w:t>Недригайлівської</w:t>
      </w:r>
      <w:proofErr w:type="spellEnd"/>
      <w:r w:rsidRPr="009F58CA">
        <w:rPr>
          <w:rFonts w:ascii="Times New Roman" w:hAnsi="Times New Roman" w:cs="Times New Roman"/>
          <w:sz w:val="28"/>
          <w:szCs w:val="28"/>
          <w:lang w:val="uk-UA"/>
        </w:rPr>
        <w:t xml:space="preserve"> районної державної адміністрації, відповідно до ст. 43 Закону України «Про місцеве самоврядування в Україні», районна рада </w:t>
      </w:r>
      <w:r>
        <w:rPr>
          <w:rFonts w:ascii="Times New Roman" w:hAnsi="Times New Roman" w:cs="Times New Roman"/>
          <w:sz w:val="28"/>
          <w:szCs w:val="28"/>
          <w:lang w:val="uk-UA"/>
        </w:rPr>
        <w:t xml:space="preserve">  </w:t>
      </w:r>
      <w:r w:rsidRPr="009F58CA">
        <w:rPr>
          <w:rFonts w:ascii="Times New Roman" w:hAnsi="Times New Roman" w:cs="Times New Roman"/>
          <w:sz w:val="28"/>
          <w:szCs w:val="28"/>
          <w:lang w:val="uk-UA"/>
        </w:rPr>
        <w:t>в и р і ш и л а:</w:t>
      </w:r>
    </w:p>
    <w:p w:rsidR="00A64416" w:rsidRDefault="00A64416" w:rsidP="00E408FE">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9F58CA">
        <w:rPr>
          <w:rFonts w:ascii="Times New Roman" w:hAnsi="Times New Roman"/>
          <w:sz w:val="28"/>
          <w:szCs w:val="28"/>
          <w:lang w:val="uk-UA"/>
        </w:rPr>
        <w:t xml:space="preserve">Унести зміни до </w:t>
      </w:r>
      <w:r w:rsidR="00E408FE">
        <w:rPr>
          <w:rFonts w:ascii="Times New Roman" w:hAnsi="Times New Roman" w:cs="Times New Roman"/>
          <w:bCs/>
          <w:color w:val="000000"/>
          <w:sz w:val="28"/>
          <w:szCs w:val="28"/>
          <w:lang w:val="uk-UA"/>
        </w:rPr>
        <w:t xml:space="preserve">Програми </w:t>
      </w:r>
      <w:r w:rsidR="00E408FE" w:rsidRPr="00E408FE">
        <w:rPr>
          <w:rFonts w:ascii="Times New Roman" w:hAnsi="Times New Roman" w:cs="Times New Roman"/>
          <w:bCs/>
          <w:color w:val="000000"/>
          <w:sz w:val="28"/>
          <w:szCs w:val="28"/>
          <w:lang w:val="uk-UA"/>
        </w:rPr>
        <w:t>розвитку  сільських територій Недригайлівського району</w:t>
      </w:r>
      <w:r w:rsidR="00E408FE">
        <w:rPr>
          <w:rFonts w:ascii="Times New Roman" w:hAnsi="Times New Roman" w:cs="Times New Roman"/>
          <w:bCs/>
          <w:color w:val="000000"/>
          <w:sz w:val="28"/>
          <w:szCs w:val="28"/>
          <w:lang w:val="uk-UA"/>
        </w:rPr>
        <w:t xml:space="preserve"> </w:t>
      </w:r>
      <w:r w:rsidR="00E408FE" w:rsidRPr="00E408FE">
        <w:rPr>
          <w:rFonts w:ascii="Times New Roman" w:hAnsi="Times New Roman" w:cs="Times New Roman"/>
          <w:bCs/>
          <w:color w:val="000000"/>
          <w:sz w:val="28"/>
          <w:szCs w:val="28"/>
          <w:lang w:val="uk-UA"/>
        </w:rPr>
        <w:t>на період до 2020 року</w:t>
      </w:r>
      <w:r w:rsidR="00E408FE">
        <w:rPr>
          <w:rFonts w:ascii="Times New Roman" w:hAnsi="Times New Roman" w:cs="Times New Roman"/>
          <w:bCs/>
          <w:color w:val="000000"/>
          <w:sz w:val="28"/>
          <w:szCs w:val="28"/>
          <w:lang w:val="uk-UA"/>
        </w:rPr>
        <w:t xml:space="preserve"> </w:t>
      </w:r>
      <w:r w:rsidR="00E408FE" w:rsidRPr="009F58CA">
        <w:rPr>
          <w:rFonts w:ascii="Times New Roman" w:hAnsi="Times New Roman"/>
          <w:sz w:val="28"/>
          <w:szCs w:val="28"/>
          <w:lang w:val="uk-UA"/>
        </w:rPr>
        <w:t xml:space="preserve"> </w:t>
      </w:r>
      <w:r w:rsidRPr="009F58CA">
        <w:rPr>
          <w:rFonts w:ascii="Times New Roman" w:hAnsi="Times New Roman"/>
          <w:sz w:val="28"/>
          <w:szCs w:val="28"/>
          <w:lang w:val="uk-UA"/>
        </w:rPr>
        <w:t>(далі - Програма ), затвердженої рішенням районної ради від  3</w:t>
      </w:r>
      <w:r w:rsidR="00E408FE">
        <w:rPr>
          <w:rFonts w:ascii="Times New Roman" w:hAnsi="Times New Roman"/>
          <w:sz w:val="28"/>
          <w:szCs w:val="28"/>
          <w:lang w:val="uk-UA"/>
        </w:rPr>
        <w:t>0</w:t>
      </w:r>
      <w:r w:rsidRPr="009F58CA">
        <w:rPr>
          <w:rFonts w:ascii="Times New Roman" w:hAnsi="Times New Roman"/>
          <w:sz w:val="28"/>
          <w:szCs w:val="28"/>
          <w:lang w:val="uk-UA"/>
        </w:rPr>
        <w:t>.0</w:t>
      </w:r>
      <w:r w:rsidR="00E408FE">
        <w:rPr>
          <w:rFonts w:ascii="Times New Roman" w:hAnsi="Times New Roman"/>
          <w:sz w:val="28"/>
          <w:szCs w:val="28"/>
          <w:lang w:val="uk-UA"/>
        </w:rPr>
        <w:t>5.2017,</w:t>
      </w:r>
      <w:r w:rsidRPr="009F58CA">
        <w:rPr>
          <w:rFonts w:ascii="Times New Roman" w:hAnsi="Times New Roman"/>
          <w:sz w:val="28"/>
          <w:szCs w:val="28"/>
          <w:lang w:val="uk-UA"/>
        </w:rPr>
        <w:t xml:space="preserve"> а саме: </w:t>
      </w:r>
    </w:p>
    <w:tbl>
      <w:tblPr>
        <w:tblW w:w="9606" w:type="dxa"/>
        <w:tblLook w:val="00A0"/>
      </w:tblPr>
      <w:tblGrid>
        <w:gridCol w:w="1034"/>
        <w:gridCol w:w="8572"/>
      </w:tblGrid>
      <w:tr w:rsidR="006509B1" w:rsidRPr="007F5F94" w:rsidTr="006509B1">
        <w:tc>
          <w:tcPr>
            <w:tcW w:w="1034" w:type="dxa"/>
          </w:tcPr>
          <w:p w:rsidR="006509B1" w:rsidRPr="00E7499B" w:rsidRDefault="006509B1" w:rsidP="006509B1">
            <w:pPr>
              <w:shd w:val="clear" w:color="auto" w:fill="FFFFFF"/>
              <w:spacing w:after="0" w:line="240" w:lineRule="auto"/>
              <w:rPr>
                <w:rFonts w:ascii="Times New Roman" w:hAnsi="Times New Roman" w:cs="Times New Roman"/>
                <w:b/>
                <w:bCs/>
                <w:color w:val="000000"/>
                <w:sz w:val="24"/>
                <w:szCs w:val="24"/>
                <w:lang w:val="uk-UA"/>
              </w:rPr>
            </w:pPr>
            <w:r>
              <w:rPr>
                <w:rFonts w:ascii="Times New Roman" w:hAnsi="Times New Roman"/>
                <w:bCs/>
                <w:sz w:val="28"/>
                <w:szCs w:val="28"/>
                <w:lang w:val="uk-UA"/>
              </w:rPr>
              <w:t xml:space="preserve">     </w:t>
            </w:r>
          </w:p>
        </w:tc>
        <w:tc>
          <w:tcPr>
            <w:tcW w:w="8572" w:type="dxa"/>
          </w:tcPr>
          <w:p w:rsidR="006509B1" w:rsidRDefault="006509B1" w:rsidP="003C1E7F">
            <w:pPr>
              <w:pStyle w:val="a3"/>
              <w:numPr>
                <w:ilvl w:val="0"/>
                <w:numId w:val="5"/>
              </w:numPr>
              <w:shd w:val="clear" w:color="auto" w:fill="FFFFFF"/>
              <w:spacing w:after="0" w:line="240" w:lineRule="auto"/>
              <w:jc w:val="both"/>
              <w:rPr>
                <w:rFonts w:ascii="Times New Roman" w:hAnsi="Times New Roman"/>
                <w:bCs/>
                <w:color w:val="000000"/>
                <w:sz w:val="28"/>
                <w:szCs w:val="28"/>
                <w:lang w:val="uk-UA"/>
              </w:rPr>
            </w:pPr>
            <w:r w:rsidRPr="006509B1">
              <w:rPr>
                <w:rFonts w:ascii="Times New Roman" w:hAnsi="Times New Roman"/>
                <w:bCs/>
                <w:sz w:val="28"/>
                <w:szCs w:val="28"/>
                <w:lang w:val="uk-UA"/>
              </w:rPr>
              <w:t xml:space="preserve">Доповнити розділ </w:t>
            </w:r>
            <w:r>
              <w:rPr>
                <w:rFonts w:ascii="Times New Roman" w:hAnsi="Times New Roman"/>
                <w:bCs/>
                <w:color w:val="000000"/>
                <w:sz w:val="28"/>
                <w:szCs w:val="28"/>
                <w:lang w:val="uk-UA"/>
              </w:rPr>
              <w:t>ІІ «</w:t>
            </w:r>
            <w:r w:rsidRPr="006509B1">
              <w:rPr>
                <w:rFonts w:ascii="Times New Roman" w:hAnsi="Times New Roman"/>
                <w:bCs/>
                <w:color w:val="000000"/>
                <w:sz w:val="28"/>
                <w:szCs w:val="28"/>
                <w:lang w:val="uk-UA"/>
              </w:rPr>
              <w:t>Розвиток галузей аграрного сектору економіки району</w:t>
            </w:r>
            <w:r>
              <w:rPr>
                <w:rFonts w:ascii="Times New Roman" w:hAnsi="Times New Roman"/>
                <w:bCs/>
                <w:color w:val="000000"/>
                <w:sz w:val="28"/>
                <w:szCs w:val="28"/>
                <w:lang w:val="uk-UA"/>
              </w:rPr>
              <w:t xml:space="preserve">»  пріоритетом </w:t>
            </w:r>
            <w:r w:rsidRPr="006509B1">
              <w:rPr>
                <w:rFonts w:ascii="Times New Roman" w:hAnsi="Times New Roman"/>
                <w:bCs/>
                <w:color w:val="000000"/>
                <w:sz w:val="28"/>
                <w:szCs w:val="28"/>
                <w:lang w:val="uk-UA"/>
              </w:rPr>
              <w:t xml:space="preserve"> 2.10 «Безпечність виробництва сільськогосподарської </w:t>
            </w:r>
            <w:r>
              <w:rPr>
                <w:rFonts w:ascii="Times New Roman" w:hAnsi="Times New Roman"/>
                <w:bCs/>
                <w:color w:val="000000"/>
                <w:sz w:val="28"/>
                <w:szCs w:val="28"/>
                <w:lang w:val="uk-UA"/>
              </w:rPr>
              <w:t xml:space="preserve">продукції» </w:t>
            </w:r>
            <w:r w:rsidRPr="006509B1">
              <w:rPr>
                <w:rFonts w:ascii="Times New Roman" w:hAnsi="Times New Roman"/>
                <w:bCs/>
                <w:color w:val="000000"/>
                <w:sz w:val="28"/>
                <w:szCs w:val="28"/>
                <w:lang w:val="uk-UA"/>
              </w:rPr>
              <w:t>(додається).</w:t>
            </w:r>
          </w:p>
          <w:p w:rsidR="002C6E21" w:rsidRPr="006509B1" w:rsidRDefault="002C6E21" w:rsidP="002C6E21">
            <w:pPr>
              <w:pStyle w:val="a4"/>
              <w:numPr>
                <w:ilvl w:val="0"/>
                <w:numId w:val="5"/>
              </w:numPr>
              <w:jc w:val="both"/>
              <w:rPr>
                <w:bCs/>
                <w:color w:val="000000"/>
                <w:sz w:val="28"/>
                <w:szCs w:val="28"/>
                <w:lang w:val="uk-UA"/>
              </w:rPr>
            </w:pPr>
            <w:r>
              <w:rPr>
                <w:bCs/>
                <w:sz w:val="28"/>
                <w:szCs w:val="28"/>
                <w:lang w:val="uk-UA"/>
              </w:rPr>
              <w:t xml:space="preserve">Рекомендувати сільським, селищним головам розглянути можливість виділення із місцевих бюджетів коштів </w:t>
            </w:r>
            <w:r>
              <w:rPr>
                <w:sz w:val="28"/>
                <w:szCs w:val="28"/>
                <w:lang w:val="uk-UA"/>
              </w:rPr>
              <w:t xml:space="preserve">на проведення арбітражних лабораторних досліджень та для  часткової компенсації витрат на придбання </w:t>
            </w:r>
            <w:proofErr w:type="spellStart"/>
            <w:r>
              <w:rPr>
                <w:sz w:val="28"/>
                <w:szCs w:val="28"/>
                <w:lang w:val="uk-UA"/>
              </w:rPr>
              <w:t>нетелів</w:t>
            </w:r>
            <w:proofErr w:type="spellEnd"/>
            <w:r>
              <w:rPr>
                <w:sz w:val="28"/>
                <w:szCs w:val="28"/>
                <w:lang w:val="uk-UA"/>
              </w:rPr>
              <w:t xml:space="preserve">.                             </w:t>
            </w:r>
          </w:p>
        </w:tc>
      </w:tr>
    </w:tbl>
    <w:p w:rsidR="00A64416" w:rsidRPr="009F58CA" w:rsidRDefault="002C6E21" w:rsidP="003F66D7">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3</w:t>
      </w:r>
      <w:r w:rsidR="00A64416" w:rsidRPr="009F58CA">
        <w:rPr>
          <w:rFonts w:ascii="Times New Roman" w:hAnsi="Times New Roman"/>
          <w:sz w:val="28"/>
          <w:szCs w:val="28"/>
          <w:lang w:val="uk-UA"/>
        </w:rPr>
        <w:t>. Контроль за виконанням рішення покласти на постійні комісії</w:t>
      </w:r>
    </w:p>
    <w:p w:rsidR="00A64416" w:rsidRDefault="006509B1" w:rsidP="00A64416">
      <w:pPr>
        <w:pStyle w:val="a3"/>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00A64416" w:rsidRPr="009F58CA">
        <w:rPr>
          <w:rFonts w:ascii="Times New Roman" w:hAnsi="Times New Roman"/>
          <w:sz w:val="28"/>
          <w:szCs w:val="28"/>
          <w:lang w:val="uk-UA"/>
        </w:rPr>
        <w:t xml:space="preserve"> районної ради. </w:t>
      </w:r>
    </w:p>
    <w:p w:rsidR="00A64416" w:rsidRPr="002030F7" w:rsidRDefault="00A64416" w:rsidP="00A64416">
      <w:pPr>
        <w:pStyle w:val="a3"/>
        <w:spacing w:after="0" w:line="240" w:lineRule="auto"/>
        <w:ind w:left="0"/>
        <w:jc w:val="both"/>
        <w:rPr>
          <w:rFonts w:ascii="Times New Roman" w:hAnsi="Times New Roman"/>
          <w:sz w:val="28"/>
          <w:szCs w:val="28"/>
          <w:lang w:val="uk-UA"/>
        </w:rPr>
      </w:pPr>
      <w:r w:rsidRPr="002030F7">
        <w:rPr>
          <w:rFonts w:ascii="Times New Roman" w:hAnsi="Times New Roman"/>
          <w:sz w:val="28"/>
          <w:szCs w:val="28"/>
          <w:lang w:val="uk-UA"/>
        </w:rPr>
        <w:t xml:space="preserve">             Додаток:  на </w:t>
      </w:r>
      <w:r w:rsidR="009B09F8">
        <w:rPr>
          <w:rFonts w:ascii="Times New Roman" w:hAnsi="Times New Roman"/>
          <w:sz w:val="28"/>
          <w:szCs w:val="28"/>
          <w:lang w:val="uk-UA"/>
        </w:rPr>
        <w:t>4</w:t>
      </w:r>
      <w:r w:rsidR="006509B1">
        <w:rPr>
          <w:rFonts w:ascii="Times New Roman" w:hAnsi="Times New Roman"/>
          <w:sz w:val="28"/>
          <w:szCs w:val="28"/>
          <w:lang w:val="uk-UA"/>
        </w:rPr>
        <w:t>-х</w:t>
      </w:r>
      <w:r w:rsidRPr="002030F7">
        <w:rPr>
          <w:rFonts w:ascii="Times New Roman" w:hAnsi="Times New Roman"/>
          <w:sz w:val="28"/>
          <w:szCs w:val="28"/>
          <w:lang w:val="uk-UA"/>
        </w:rPr>
        <w:t xml:space="preserve"> </w:t>
      </w:r>
      <w:r w:rsidR="006509B1">
        <w:rPr>
          <w:rFonts w:ascii="Times New Roman" w:hAnsi="Times New Roman"/>
          <w:sz w:val="28"/>
          <w:szCs w:val="28"/>
          <w:lang w:val="uk-UA"/>
        </w:rPr>
        <w:t>арк. в 1 прим</w:t>
      </w:r>
      <w:r w:rsidRPr="002030F7">
        <w:rPr>
          <w:rFonts w:ascii="Times New Roman" w:hAnsi="Times New Roman"/>
          <w:sz w:val="28"/>
          <w:szCs w:val="28"/>
          <w:lang w:val="uk-UA"/>
        </w:rPr>
        <w:t>.</w:t>
      </w:r>
    </w:p>
    <w:p w:rsidR="009C546C" w:rsidRPr="00440D63" w:rsidRDefault="009C546C" w:rsidP="00A64416">
      <w:pPr>
        <w:pStyle w:val="a3"/>
        <w:spacing w:after="0" w:line="240" w:lineRule="auto"/>
        <w:ind w:left="0"/>
        <w:jc w:val="both"/>
        <w:rPr>
          <w:rFonts w:ascii="Times New Roman" w:hAnsi="Times New Roman"/>
          <w:sz w:val="28"/>
          <w:szCs w:val="28"/>
          <w:lang w:val="uk-UA"/>
        </w:rPr>
      </w:pPr>
    </w:p>
    <w:p w:rsidR="00A64416" w:rsidRDefault="009A2983" w:rsidP="00A64416">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Заступник г</w:t>
      </w:r>
      <w:r w:rsidR="00A64416" w:rsidRPr="009F58CA">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A64416" w:rsidRPr="009F58CA">
        <w:rPr>
          <w:rFonts w:ascii="Times New Roman" w:hAnsi="Times New Roman" w:cs="Times New Roman"/>
          <w:b/>
          <w:sz w:val="28"/>
          <w:szCs w:val="28"/>
          <w:lang w:val="uk-UA"/>
        </w:rPr>
        <w:t xml:space="preserve"> районної  ра</w:t>
      </w:r>
      <w:r>
        <w:rPr>
          <w:rFonts w:ascii="Times New Roman" w:hAnsi="Times New Roman" w:cs="Times New Roman"/>
          <w:b/>
          <w:sz w:val="28"/>
          <w:szCs w:val="28"/>
          <w:lang w:val="uk-UA"/>
        </w:rPr>
        <w:t xml:space="preserve">ди             </w:t>
      </w:r>
      <w:r w:rsidR="00A64416" w:rsidRPr="009F58CA">
        <w:rPr>
          <w:rFonts w:ascii="Times New Roman" w:hAnsi="Times New Roman" w:cs="Times New Roman"/>
          <w:b/>
          <w:sz w:val="28"/>
          <w:szCs w:val="28"/>
          <w:lang w:val="uk-UA"/>
        </w:rPr>
        <w:t xml:space="preserve">                               </w:t>
      </w:r>
      <w:r>
        <w:rPr>
          <w:rFonts w:ascii="Times New Roman" w:hAnsi="Times New Roman" w:cs="Times New Roman"/>
          <w:b/>
          <w:sz w:val="28"/>
          <w:szCs w:val="28"/>
          <w:lang w:val="uk-UA"/>
        </w:rPr>
        <w:t>А.І. Кужель</w:t>
      </w:r>
    </w:p>
    <w:p w:rsidR="00A64416" w:rsidRDefault="00A64416" w:rsidP="00A64416">
      <w:pPr>
        <w:spacing w:after="0" w:line="240" w:lineRule="auto"/>
        <w:jc w:val="both"/>
        <w:rPr>
          <w:rFonts w:ascii="Times New Roman" w:hAnsi="Times New Roman" w:cs="Times New Roman"/>
          <w:b/>
          <w:sz w:val="28"/>
          <w:szCs w:val="28"/>
          <w:lang w:val="uk-UA"/>
        </w:rPr>
      </w:pPr>
    </w:p>
    <w:p w:rsidR="00A64416" w:rsidRDefault="00A64416" w:rsidP="00A64416">
      <w:pPr>
        <w:spacing w:after="0" w:line="240" w:lineRule="auto"/>
        <w:jc w:val="both"/>
        <w:rPr>
          <w:rFonts w:ascii="Times New Roman" w:hAnsi="Times New Roman" w:cs="Times New Roman"/>
          <w:b/>
          <w:sz w:val="28"/>
          <w:szCs w:val="28"/>
          <w:lang w:val="uk-UA"/>
        </w:rPr>
      </w:pPr>
    </w:p>
    <w:p w:rsidR="00A64416" w:rsidRDefault="00A64416" w:rsidP="00A64416">
      <w:pPr>
        <w:spacing w:after="0" w:line="240" w:lineRule="auto"/>
        <w:jc w:val="both"/>
        <w:rPr>
          <w:rFonts w:ascii="Times New Roman" w:hAnsi="Times New Roman" w:cs="Times New Roman"/>
          <w:b/>
          <w:sz w:val="28"/>
          <w:szCs w:val="28"/>
          <w:lang w:val="uk-UA"/>
        </w:rPr>
      </w:pPr>
    </w:p>
    <w:p w:rsidR="00A64416" w:rsidRDefault="00A64416" w:rsidP="00A64416">
      <w:pPr>
        <w:spacing w:after="0" w:line="240" w:lineRule="auto"/>
        <w:jc w:val="both"/>
        <w:rPr>
          <w:rFonts w:ascii="Times New Roman" w:hAnsi="Times New Roman" w:cs="Times New Roman"/>
          <w:b/>
          <w:sz w:val="28"/>
          <w:szCs w:val="28"/>
          <w:lang w:val="uk-UA"/>
        </w:rPr>
      </w:pPr>
    </w:p>
    <w:p w:rsidR="00A64416" w:rsidRDefault="00A64416" w:rsidP="00A64416">
      <w:pPr>
        <w:spacing w:after="0" w:line="240" w:lineRule="auto"/>
        <w:jc w:val="both"/>
        <w:rPr>
          <w:rFonts w:ascii="Times New Roman" w:hAnsi="Times New Roman" w:cs="Times New Roman"/>
          <w:b/>
          <w:sz w:val="28"/>
          <w:szCs w:val="28"/>
          <w:lang w:val="uk-UA"/>
        </w:rPr>
      </w:pPr>
    </w:p>
    <w:p w:rsidR="00A64416" w:rsidRDefault="00A64416" w:rsidP="00A64416">
      <w:pPr>
        <w:spacing w:after="0" w:line="240" w:lineRule="auto"/>
        <w:jc w:val="both"/>
        <w:rPr>
          <w:rFonts w:ascii="Times New Roman" w:hAnsi="Times New Roman" w:cs="Times New Roman"/>
          <w:b/>
          <w:sz w:val="28"/>
          <w:szCs w:val="28"/>
          <w:lang w:val="uk-UA"/>
        </w:rPr>
      </w:pPr>
    </w:p>
    <w:p w:rsidR="00A64416" w:rsidRPr="00CB55A0" w:rsidRDefault="00A64416" w:rsidP="00A64416">
      <w:pPr>
        <w:spacing w:after="0" w:line="240" w:lineRule="auto"/>
        <w:jc w:val="both"/>
        <w:rPr>
          <w:rFonts w:ascii="Times New Roman" w:hAnsi="Times New Roman" w:cs="Times New Roman"/>
          <w:b/>
          <w:sz w:val="24"/>
          <w:szCs w:val="24"/>
          <w:lang w:val="uk-UA"/>
        </w:rPr>
      </w:pPr>
    </w:p>
    <w:p w:rsidR="00A64416" w:rsidRPr="00CB55A0" w:rsidRDefault="00A64416" w:rsidP="00A64416">
      <w:pPr>
        <w:pStyle w:val="a3"/>
        <w:spacing w:line="240" w:lineRule="auto"/>
        <w:ind w:left="1140"/>
        <w:jc w:val="right"/>
        <w:rPr>
          <w:rFonts w:ascii="Times New Roman" w:hAnsi="Times New Roman"/>
          <w:b/>
          <w:sz w:val="24"/>
          <w:szCs w:val="24"/>
          <w:lang w:val="uk-UA"/>
        </w:rPr>
        <w:sectPr w:rsidR="00A64416" w:rsidRPr="00CB55A0" w:rsidSect="00027350">
          <w:pgSz w:w="11906" w:h="16838"/>
          <w:pgMar w:top="1134" w:right="850" w:bottom="1134" w:left="1701" w:header="708" w:footer="708" w:gutter="0"/>
          <w:cols w:space="708"/>
          <w:docGrid w:linePitch="360"/>
        </w:sectPr>
      </w:pPr>
    </w:p>
    <w:p w:rsidR="00A64416" w:rsidRPr="00B37C80" w:rsidRDefault="00A64416" w:rsidP="00A64416">
      <w:pPr>
        <w:pStyle w:val="a3"/>
        <w:ind w:left="1140"/>
        <w:jc w:val="right"/>
        <w:rPr>
          <w:rFonts w:ascii="Times New Roman" w:hAnsi="Times New Roman"/>
          <w:b/>
          <w:sz w:val="28"/>
          <w:szCs w:val="28"/>
          <w:lang w:val="uk-UA"/>
        </w:rPr>
      </w:pPr>
      <w:r w:rsidRPr="00B37C80">
        <w:rPr>
          <w:rFonts w:ascii="Times New Roman" w:hAnsi="Times New Roman"/>
          <w:b/>
          <w:sz w:val="28"/>
          <w:szCs w:val="28"/>
          <w:lang w:val="uk-UA"/>
        </w:rPr>
        <w:lastRenderedPageBreak/>
        <w:t>Додаток</w:t>
      </w:r>
    </w:p>
    <w:p w:rsidR="00A64416" w:rsidRPr="00B37C80" w:rsidRDefault="00A64416" w:rsidP="00A64416">
      <w:pPr>
        <w:pStyle w:val="a3"/>
        <w:ind w:left="1140"/>
        <w:jc w:val="right"/>
        <w:rPr>
          <w:rFonts w:ascii="Times New Roman" w:hAnsi="Times New Roman"/>
          <w:b/>
          <w:sz w:val="28"/>
          <w:szCs w:val="28"/>
          <w:lang w:val="uk-UA"/>
        </w:rPr>
      </w:pPr>
      <w:r w:rsidRPr="00B37C80">
        <w:rPr>
          <w:rFonts w:ascii="Times New Roman" w:hAnsi="Times New Roman"/>
          <w:b/>
          <w:sz w:val="28"/>
          <w:szCs w:val="28"/>
          <w:lang w:val="uk-UA"/>
        </w:rPr>
        <w:t xml:space="preserve">до рішення  </w:t>
      </w:r>
      <w:proofErr w:type="spellStart"/>
      <w:r w:rsidRPr="00B37C80">
        <w:rPr>
          <w:rFonts w:ascii="Times New Roman" w:hAnsi="Times New Roman"/>
          <w:b/>
          <w:sz w:val="28"/>
          <w:szCs w:val="28"/>
          <w:lang w:val="uk-UA"/>
        </w:rPr>
        <w:t>Недригайлівської</w:t>
      </w:r>
      <w:proofErr w:type="spellEnd"/>
      <w:r w:rsidRPr="00B37C80">
        <w:rPr>
          <w:rFonts w:ascii="Times New Roman" w:hAnsi="Times New Roman"/>
          <w:b/>
          <w:sz w:val="28"/>
          <w:szCs w:val="28"/>
          <w:lang w:val="uk-UA"/>
        </w:rPr>
        <w:t xml:space="preserve"> районної  ради </w:t>
      </w:r>
    </w:p>
    <w:p w:rsidR="00A64416" w:rsidRPr="00B37C80" w:rsidRDefault="00A64416" w:rsidP="00A64416">
      <w:pPr>
        <w:pStyle w:val="a3"/>
        <w:ind w:left="1140"/>
        <w:jc w:val="right"/>
        <w:rPr>
          <w:rFonts w:ascii="Times New Roman" w:hAnsi="Times New Roman"/>
          <w:b/>
          <w:sz w:val="28"/>
          <w:szCs w:val="28"/>
          <w:lang w:val="uk-UA"/>
        </w:rPr>
      </w:pPr>
      <w:r w:rsidRPr="00B37C80">
        <w:rPr>
          <w:rFonts w:ascii="Times New Roman" w:hAnsi="Times New Roman"/>
          <w:b/>
          <w:sz w:val="28"/>
          <w:szCs w:val="28"/>
          <w:lang w:val="uk-UA"/>
        </w:rPr>
        <w:t>від _________________ № ________</w:t>
      </w:r>
    </w:p>
    <w:p w:rsidR="00A64416" w:rsidRPr="00B37C80" w:rsidRDefault="00A64416" w:rsidP="00A64416">
      <w:pPr>
        <w:pStyle w:val="a3"/>
        <w:ind w:left="1140"/>
        <w:rPr>
          <w:rFonts w:ascii="Times New Roman" w:hAnsi="Times New Roman"/>
          <w:b/>
          <w:sz w:val="28"/>
          <w:szCs w:val="28"/>
          <w:lang w:val="uk-UA"/>
        </w:rPr>
      </w:pPr>
    </w:p>
    <w:p w:rsidR="00B37C80" w:rsidRDefault="00A64416" w:rsidP="00A64416">
      <w:pPr>
        <w:pStyle w:val="a3"/>
        <w:ind w:left="1140"/>
        <w:jc w:val="center"/>
        <w:rPr>
          <w:rFonts w:ascii="Times New Roman" w:hAnsi="Times New Roman"/>
          <w:b/>
          <w:bCs/>
          <w:sz w:val="28"/>
          <w:szCs w:val="28"/>
          <w:lang w:val="uk-UA"/>
        </w:rPr>
      </w:pPr>
      <w:r w:rsidRPr="00B37C80">
        <w:rPr>
          <w:rFonts w:ascii="Times New Roman" w:hAnsi="Times New Roman"/>
          <w:b/>
          <w:bCs/>
          <w:sz w:val="28"/>
          <w:szCs w:val="28"/>
          <w:lang w:val="uk-UA"/>
        </w:rPr>
        <w:t xml:space="preserve">Зміни </w:t>
      </w:r>
    </w:p>
    <w:p w:rsidR="00A64416" w:rsidRPr="00B37C80" w:rsidRDefault="00A64416" w:rsidP="00A64416">
      <w:pPr>
        <w:pStyle w:val="a3"/>
        <w:ind w:left="1140"/>
        <w:jc w:val="center"/>
        <w:rPr>
          <w:rFonts w:ascii="Times New Roman" w:hAnsi="Times New Roman"/>
          <w:b/>
          <w:sz w:val="28"/>
          <w:szCs w:val="28"/>
          <w:lang w:val="uk-UA"/>
        </w:rPr>
      </w:pPr>
      <w:r w:rsidRPr="00B37C80">
        <w:rPr>
          <w:rFonts w:ascii="Times New Roman" w:hAnsi="Times New Roman"/>
          <w:b/>
          <w:bCs/>
          <w:sz w:val="28"/>
          <w:szCs w:val="28"/>
          <w:lang w:val="uk-UA"/>
        </w:rPr>
        <w:t xml:space="preserve">до </w:t>
      </w:r>
      <w:r w:rsidR="005F1F44" w:rsidRPr="00B37C80">
        <w:rPr>
          <w:rFonts w:ascii="Times New Roman" w:hAnsi="Times New Roman"/>
          <w:b/>
          <w:bCs/>
          <w:color w:val="000000"/>
          <w:sz w:val="28"/>
          <w:szCs w:val="28"/>
          <w:lang w:val="uk-UA"/>
        </w:rPr>
        <w:t xml:space="preserve">Програми розвитку  сільських територій Недригайлівського району на період до 2020 року </w:t>
      </w:r>
      <w:r w:rsidR="005F1F44" w:rsidRPr="00B37C80">
        <w:rPr>
          <w:rFonts w:ascii="Times New Roman" w:hAnsi="Times New Roman"/>
          <w:b/>
          <w:sz w:val="28"/>
          <w:szCs w:val="28"/>
          <w:lang w:val="uk-UA"/>
        </w:rPr>
        <w:t xml:space="preserve"> </w:t>
      </w:r>
    </w:p>
    <w:p w:rsidR="00A64416" w:rsidRDefault="00A64416" w:rsidP="00B37C80">
      <w:pPr>
        <w:jc w:val="right"/>
        <w:rPr>
          <w:rFonts w:ascii="Times New Roman" w:hAnsi="Times New Roman" w:cs="Times New Roman"/>
          <w:b/>
          <w:sz w:val="24"/>
          <w:szCs w:val="24"/>
          <w:lang w:val="uk-UA"/>
        </w:rPr>
      </w:pPr>
      <w:r w:rsidRPr="00CB55A0">
        <w:rPr>
          <w:rFonts w:ascii="Times New Roman" w:hAnsi="Times New Roman" w:cs="Times New Roman"/>
          <w:b/>
          <w:sz w:val="24"/>
          <w:szCs w:val="24"/>
          <w:lang w:val="uk-UA"/>
        </w:rPr>
        <w:t xml:space="preserve">                                                                                                                                                             Додаток 1 </w:t>
      </w:r>
    </w:p>
    <w:p w:rsidR="00B37C80" w:rsidRDefault="00B37C80" w:rsidP="00B37C80">
      <w:pPr>
        <w:pStyle w:val="a4"/>
        <w:jc w:val="center"/>
        <w:rPr>
          <w:b/>
          <w:sz w:val="28"/>
          <w:szCs w:val="28"/>
          <w:lang w:val="uk-UA"/>
        </w:rPr>
      </w:pPr>
      <w:r>
        <w:rPr>
          <w:b/>
          <w:sz w:val="28"/>
          <w:szCs w:val="28"/>
          <w:lang w:val="uk-UA"/>
        </w:rPr>
        <w:t xml:space="preserve">2.10 </w:t>
      </w:r>
      <w:r w:rsidRPr="000574C6">
        <w:rPr>
          <w:b/>
          <w:sz w:val="28"/>
          <w:szCs w:val="28"/>
          <w:lang w:val="uk-UA"/>
        </w:rPr>
        <w:t>Безпечність виробництва сільськогосподарської продукції</w:t>
      </w:r>
    </w:p>
    <w:p w:rsidR="00B37C80" w:rsidRDefault="00B37C80" w:rsidP="00B37C80">
      <w:pPr>
        <w:pStyle w:val="a4"/>
        <w:ind w:firstLine="851"/>
        <w:rPr>
          <w:sz w:val="28"/>
          <w:szCs w:val="28"/>
          <w:lang w:val="uk-UA"/>
        </w:rPr>
      </w:pPr>
    </w:p>
    <w:p w:rsidR="00B37C80" w:rsidRDefault="00B37C80" w:rsidP="00B37C80">
      <w:pPr>
        <w:pStyle w:val="a4"/>
        <w:ind w:firstLine="851"/>
        <w:jc w:val="both"/>
        <w:rPr>
          <w:sz w:val="28"/>
          <w:szCs w:val="28"/>
          <w:lang w:val="uk-UA"/>
        </w:rPr>
      </w:pPr>
      <w:r>
        <w:rPr>
          <w:sz w:val="28"/>
          <w:szCs w:val="28"/>
          <w:lang w:val="uk-UA"/>
        </w:rPr>
        <w:t>За даними офіційної статистики господарствами населення Недригайлівського району виробляється значна частина  валової продукції сільського господарства, в тому числі більше половини загального виробництва продукції тваринництва. При цьому надходження коштів від реалізації тваринництва є вагомим джерелом доходів сільського населення.</w:t>
      </w:r>
    </w:p>
    <w:p w:rsidR="00B37C80" w:rsidRDefault="00B37C80" w:rsidP="00B37C80">
      <w:pPr>
        <w:pStyle w:val="a4"/>
        <w:ind w:firstLine="851"/>
        <w:jc w:val="both"/>
        <w:rPr>
          <w:sz w:val="28"/>
          <w:szCs w:val="28"/>
          <w:lang w:val="uk-UA"/>
        </w:rPr>
      </w:pPr>
      <w:r>
        <w:rPr>
          <w:sz w:val="28"/>
          <w:szCs w:val="28"/>
          <w:lang w:val="uk-UA"/>
        </w:rPr>
        <w:t>В 2018 році за результатами обстеження поголів’я  корів в господарствах населення встановлено захворювання на лейкоз.</w:t>
      </w:r>
    </w:p>
    <w:p w:rsidR="00B37C80" w:rsidRDefault="00B37C80" w:rsidP="00B37C80">
      <w:pPr>
        <w:pStyle w:val="a4"/>
        <w:ind w:firstLine="851"/>
        <w:jc w:val="both"/>
        <w:rPr>
          <w:sz w:val="28"/>
          <w:szCs w:val="28"/>
          <w:lang w:val="uk-UA"/>
        </w:rPr>
      </w:pPr>
      <w:r>
        <w:rPr>
          <w:sz w:val="28"/>
          <w:szCs w:val="28"/>
          <w:lang w:val="uk-UA"/>
        </w:rPr>
        <w:t>Станом на 01.01.2018 в господарствах населення району  налічувалось 2677 голів корів. Досліджено на лейкоз – 2066 голів. Виявлено захворювання в 530 голів – це становить 25,68% від загальної кількості корів в населення.</w:t>
      </w:r>
    </w:p>
    <w:p w:rsidR="00B37C80" w:rsidRDefault="00B37C80" w:rsidP="00B37C80">
      <w:pPr>
        <w:pStyle w:val="a4"/>
        <w:ind w:firstLine="851"/>
        <w:jc w:val="both"/>
        <w:rPr>
          <w:sz w:val="28"/>
          <w:szCs w:val="28"/>
          <w:lang w:val="uk-UA"/>
        </w:rPr>
      </w:pPr>
      <w:r>
        <w:rPr>
          <w:sz w:val="28"/>
          <w:szCs w:val="28"/>
          <w:lang w:val="uk-UA"/>
        </w:rPr>
        <w:t>Інфіковане поголів’я худоби, відповідно до інструкції з профілактики та оздоровлення великої рогатої худоби від лейкозу затвердженою наказом Державного комітету ветеринарної медицини України від 21.12.2007 № 21 повинне бути реалізоване переробним підприємствам на забій. При цьому, реалізація такої худоби проводиться за цінами значно нижчими від закупівельних, що не дає можливості господарствам населення за виручені кошти придбати худобу в благополучних господарствах.</w:t>
      </w:r>
    </w:p>
    <w:p w:rsidR="00B37C80" w:rsidRDefault="00B37C80" w:rsidP="00B37C80">
      <w:pPr>
        <w:pStyle w:val="a4"/>
        <w:ind w:firstLine="851"/>
        <w:jc w:val="both"/>
        <w:rPr>
          <w:sz w:val="28"/>
          <w:szCs w:val="28"/>
          <w:lang w:val="uk-UA"/>
        </w:rPr>
      </w:pPr>
      <w:r>
        <w:rPr>
          <w:sz w:val="28"/>
          <w:szCs w:val="28"/>
          <w:lang w:val="uk-UA"/>
        </w:rPr>
        <w:t xml:space="preserve">Лейкоз великої рогатої худоби – широко розповсюджене хронічне захворювання сільськогосподарських тварин, яке спричиняється </w:t>
      </w:r>
      <w:proofErr w:type="spellStart"/>
      <w:r>
        <w:rPr>
          <w:sz w:val="28"/>
          <w:szCs w:val="28"/>
          <w:lang w:val="uk-UA"/>
        </w:rPr>
        <w:t>ретровірусом</w:t>
      </w:r>
      <w:proofErr w:type="spellEnd"/>
      <w:r>
        <w:rPr>
          <w:sz w:val="28"/>
          <w:szCs w:val="28"/>
          <w:lang w:val="uk-UA"/>
        </w:rPr>
        <w:t xml:space="preserve"> – вірусом лейкозу великої рогатої худоби. Протікає </w:t>
      </w:r>
      <w:proofErr w:type="spellStart"/>
      <w:r>
        <w:rPr>
          <w:sz w:val="28"/>
          <w:szCs w:val="28"/>
          <w:lang w:val="uk-UA"/>
        </w:rPr>
        <w:t>безсимптомно</w:t>
      </w:r>
      <w:proofErr w:type="spellEnd"/>
      <w:r>
        <w:rPr>
          <w:sz w:val="28"/>
          <w:szCs w:val="28"/>
          <w:lang w:val="uk-UA"/>
        </w:rPr>
        <w:t xml:space="preserve"> або характеризується </w:t>
      </w:r>
      <w:proofErr w:type="spellStart"/>
      <w:r>
        <w:rPr>
          <w:sz w:val="28"/>
          <w:szCs w:val="28"/>
          <w:lang w:val="uk-UA"/>
        </w:rPr>
        <w:t>лімфоцитозом</w:t>
      </w:r>
      <w:proofErr w:type="spellEnd"/>
      <w:r>
        <w:rPr>
          <w:sz w:val="28"/>
          <w:szCs w:val="28"/>
          <w:lang w:val="uk-UA"/>
        </w:rPr>
        <w:t xml:space="preserve"> і злоякісним розростанням кровотворних і </w:t>
      </w:r>
      <w:proofErr w:type="spellStart"/>
      <w:r>
        <w:rPr>
          <w:sz w:val="28"/>
          <w:szCs w:val="28"/>
          <w:lang w:val="uk-UA"/>
        </w:rPr>
        <w:t>лімфоїдних</w:t>
      </w:r>
      <w:proofErr w:type="spellEnd"/>
      <w:r>
        <w:rPr>
          <w:sz w:val="28"/>
          <w:szCs w:val="28"/>
          <w:lang w:val="uk-UA"/>
        </w:rPr>
        <w:t xml:space="preserve"> клітин в різних органах, </w:t>
      </w:r>
      <w:proofErr w:type="spellStart"/>
      <w:r>
        <w:rPr>
          <w:sz w:val="28"/>
          <w:szCs w:val="28"/>
          <w:lang w:val="uk-UA"/>
        </w:rPr>
        <w:t>лейкомією</w:t>
      </w:r>
      <w:proofErr w:type="spellEnd"/>
      <w:r>
        <w:rPr>
          <w:sz w:val="28"/>
          <w:szCs w:val="28"/>
          <w:lang w:val="uk-UA"/>
        </w:rPr>
        <w:t>.</w:t>
      </w:r>
      <w:r w:rsidRPr="00F74E37">
        <w:rPr>
          <w:sz w:val="28"/>
          <w:szCs w:val="28"/>
          <w:lang w:val="uk-UA"/>
        </w:rPr>
        <w:t xml:space="preserve"> </w:t>
      </w:r>
    </w:p>
    <w:p w:rsidR="00B37C80" w:rsidRDefault="00B37C80" w:rsidP="00B37C80">
      <w:pPr>
        <w:pStyle w:val="a4"/>
        <w:ind w:firstLine="851"/>
        <w:jc w:val="both"/>
        <w:rPr>
          <w:sz w:val="28"/>
          <w:szCs w:val="28"/>
          <w:lang w:val="uk-UA"/>
        </w:rPr>
      </w:pPr>
      <w:r>
        <w:rPr>
          <w:sz w:val="28"/>
          <w:szCs w:val="28"/>
          <w:lang w:val="uk-UA"/>
        </w:rPr>
        <w:t xml:space="preserve">При спонтанному зараженні цей період триває від 2 до 6 років. Клінічні прояви залежать від залучення в </w:t>
      </w:r>
      <w:proofErr w:type="spellStart"/>
      <w:r>
        <w:rPr>
          <w:sz w:val="28"/>
          <w:szCs w:val="28"/>
          <w:lang w:val="uk-UA"/>
        </w:rPr>
        <w:t>паталогічний</w:t>
      </w:r>
      <w:proofErr w:type="spellEnd"/>
      <w:r>
        <w:rPr>
          <w:sz w:val="28"/>
          <w:szCs w:val="28"/>
          <w:lang w:val="uk-UA"/>
        </w:rPr>
        <w:t xml:space="preserve"> процес органів – лімфатичних вузлів, селезінки, </w:t>
      </w:r>
      <w:proofErr w:type="spellStart"/>
      <w:r>
        <w:rPr>
          <w:sz w:val="28"/>
          <w:szCs w:val="28"/>
          <w:lang w:val="uk-UA"/>
        </w:rPr>
        <w:t>сечуга</w:t>
      </w:r>
      <w:proofErr w:type="spellEnd"/>
      <w:r>
        <w:rPr>
          <w:sz w:val="28"/>
          <w:szCs w:val="28"/>
          <w:lang w:val="uk-UA"/>
        </w:rPr>
        <w:t>, серця, нирок, статевих та інших інфекційних процесів при лейкозі розвиваються повільно і непомітно.</w:t>
      </w:r>
    </w:p>
    <w:p w:rsidR="00B37C80" w:rsidRDefault="00B37C80" w:rsidP="00B37C80">
      <w:pPr>
        <w:pStyle w:val="a4"/>
        <w:ind w:firstLine="851"/>
        <w:jc w:val="both"/>
        <w:rPr>
          <w:sz w:val="28"/>
          <w:szCs w:val="28"/>
          <w:lang w:val="uk-UA"/>
        </w:rPr>
      </w:pPr>
      <w:r>
        <w:rPr>
          <w:sz w:val="28"/>
          <w:szCs w:val="28"/>
          <w:lang w:val="uk-UA"/>
        </w:rPr>
        <w:t>Кожного року лейкоз завдає величезної економічної шкоди народному господарству та приватному сектору.</w:t>
      </w:r>
    </w:p>
    <w:p w:rsidR="00B37C80" w:rsidRDefault="00B37C80" w:rsidP="00B37C80">
      <w:pPr>
        <w:pStyle w:val="a4"/>
        <w:ind w:firstLine="851"/>
        <w:jc w:val="both"/>
        <w:rPr>
          <w:sz w:val="28"/>
          <w:szCs w:val="28"/>
          <w:lang w:val="uk-UA"/>
        </w:rPr>
      </w:pPr>
      <w:r>
        <w:rPr>
          <w:sz w:val="28"/>
          <w:szCs w:val="28"/>
          <w:lang w:val="uk-UA"/>
        </w:rPr>
        <w:t>Джерело інфекції – хворі тварини. Найчастіше хворіє велика рогата худоба в 4-8 річному віці, але хворіють і більш молоді тварини.</w:t>
      </w:r>
    </w:p>
    <w:p w:rsidR="00B37C80" w:rsidRDefault="00B37C80" w:rsidP="00B37C80">
      <w:pPr>
        <w:pStyle w:val="a4"/>
        <w:ind w:firstLine="851"/>
        <w:jc w:val="both"/>
        <w:rPr>
          <w:sz w:val="28"/>
          <w:szCs w:val="28"/>
          <w:lang w:val="uk-UA"/>
        </w:rPr>
      </w:pPr>
      <w:r>
        <w:rPr>
          <w:sz w:val="28"/>
          <w:szCs w:val="28"/>
          <w:lang w:val="uk-UA"/>
        </w:rPr>
        <w:lastRenderedPageBreak/>
        <w:t>Основними факторами розповсюдження лейкозу є завіз тварин з неблагополучних господарств або недосліджена протягом декількох років тварина, що несе збудник хвороби лейкозу великої рогатої худоби.</w:t>
      </w:r>
    </w:p>
    <w:p w:rsidR="00B37C80" w:rsidRDefault="00B37C80" w:rsidP="00B37C80">
      <w:pPr>
        <w:pStyle w:val="a4"/>
        <w:ind w:firstLine="851"/>
        <w:jc w:val="both"/>
        <w:rPr>
          <w:sz w:val="28"/>
          <w:szCs w:val="28"/>
          <w:lang w:val="uk-UA"/>
        </w:rPr>
      </w:pPr>
      <w:r>
        <w:rPr>
          <w:sz w:val="28"/>
          <w:szCs w:val="28"/>
          <w:lang w:val="uk-UA"/>
        </w:rPr>
        <w:t xml:space="preserve">Сьогодні відомо безліч способів,як вірус лейкозу великої рогатої худоби потрапляє в організм. Достовірно відомо, що тварина заражається від хворої худоби через вживання води або корму з однієї ємкості тому , що вірус міститься в слині тварини. Вірус може передаватися телятам при згодовуванні молока від інфікованої корови. Ряд вчених вважає, що носіями інфекції можуть бути комарі, </w:t>
      </w:r>
      <w:proofErr w:type="spellStart"/>
      <w:r>
        <w:rPr>
          <w:sz w:val="28"/>
          <w:szCs w:val="28"/>
          <w:lang w:val="uk-UA"/>
        </w:rPr>
        <w:t>гедзі</w:t>
      </w:r>
      <w:proofErr w:type="spellEnd"/>
      <w:r>
        <w:rPr>
          <w:sz w:val="28"/>
          <w:szCs w:val="28"/>
          <w:lang w:val="uk-UA"/>
        </w:rPr>
        <w:t xml:space="preserve"> та інші кровоссальні комахи. Також з інших джерел відомо, що лейкоз може передаватися статевим шляхом при  заплідненні корів і телиць парувального віку хворим не дослідженим биком-плідником. До поширення лейкозу ВРХ призводить спільне утримання або спільний випас хворої та здорової худоби, спільне годування або випоювання тварин, в т.ч. з відкритих водойм. Відмова від щорічної диспансеризації не є заходом запобігання виникнення лейкозу.</w:t>
      </w:r>
    </w:p>
    <w:p w:rsidR="00B37C80" w:rsidRDefault="00B37C80" w:rsidP="00B37C80">
      <w:pPr>
        <w:pStyle w:val="a4"/>
        <w:ind w:firstLine="851"/>
        <w:jc w:val="both"/>
        <w:rPr>
          <w:sz w:val="28"/>
          <w:szCs w:val="28"/>
          <w:lang w:val="uk-UA"/>
        </w:rPr>
      </w:pPr>
      <w:r>
        <w:rPr>
          <w:sz w:val="28"/>
          <w:szCs w:val="28"/>
          <w:lang w:val="uk-UA"/>
        </w:rPr>
        <w:t>Основними заходами ефективного забезпечення благополуччя тваринництва щодо лейкозу є: проведення чіткого обліку, нумерації та ідентифікації тварин; своєчасна діагностика хвороби; чітке знання епізоотичної ситуації в кожному стаді; негайна ізоляція вірусоносіїв з наступним забоєм. Лікування лейкозу ВРХ не розроблене.</w:t>
      </w:r>
    </w:p>
    <w:p w:rsidR="00B37C80" w:rsidRDefault="00B37C80" w:rsidP="00B37C80">
      <w:pPr>
        <w:pStyle w:val="a4"/>
        <w:ind w:firstLine="851"/>
        <w:jc w:val="both"/>
        <w:rPr>
          <w:sz w:val="28"/>
          <w:szCs w:val="28"/>
          <w:lang w:val="uk-UA"/>
        </w:rPr>
      </w:pPr>
      <w:r>
        <w:rPr>
          <w:sz w:val="28"/>
          <w:szCs w:val="28"/>
          <w:lang w:val="uk-UA"/>
        </w:rPr>
        <w:t>Так як джерелом збудника є заражені вірусом лейкозу тварини на всіх стадіях інфекційного процесу, то єдиний шлях оздоровлення це – заміна хворої на здорову тварину.</w:t>
      </w:r>
    </w:p>
    <w:p w:rsidR="00B37C80" w:rsidRDefault="00B37C80" w:rsidP="00B37C80">
      <w:pPr>
        <w:pStyle w:val="a4"/>
        <w:ind w:firstLine="851"/>
        <w:jc w:val="both"/>
        <w:rPr>
          <w:sz w:val="28"/>
          <w:szCs w:val="28"/>
          <w:lang w:val="uk-UA"/>
        </w:rPr>
      </w:pPr>
      <w:r>
        <w:rPr>
          <w:sz w:val="28"/>
          <w:szCs w:val="28"/>
          <w:lang w:val="uk-UA"/>
        </w:rPr>
        <w:t xml:space="preserve">Існуюча ситуація в подальшому може привести до значного зменшення </w:t>
      </w:r>
      <w:proofErr w:type="spellStart"/>
      <w:r>
        <w:rPr>
          <w:sz w:val="28"/>
          <w:szCs w:val="28"/>
          <w:lang w:val="uk-UA"/>
        </w:rPr>
        <w:t>поголів»я</w:t>
      </w:r>
      <w:proofErr w:type="spellEnd"/>
      <w:r>
        <w:rPr>
          <w:sz w:val="28"/>
          <w:szCs w:val="28"/>
          <w:lang w:val="uk-UA"/>
        </w:rPr>
        <w:t xml:space="preserve"> великої рогатої худоби в господарствах населення та негативно вплинути на добробут сільського населення.</w:t>
      </w:r>
    </w:p>
    <w:p w:rsidR="00B37C80" w:rsidRPr="003A74A9" w:rsidRDefault="00B37C80" w:rsidP="00B37C80">
      <w:pPr>
        <w:pStyle w:val="a4"/>
        <w:ind w:firstLine="851"/>
        <w:jc w:val="both"/>
        <w:rPr>
          <w:b/>
          <w:sz w:val="28"/>
          <w:szCs w:val="28"/>
          <w:lang w:val="uk-UA"/>
        </w:rPr>
      </w:pPr>
      <w:r>
        <w:rPr>
          <w:sz w:val="28"/>
          <w:szCs w:val="28"/>
          <w:lang w:val="uk-UA"/>
        </w:rPr>
        <w:t xml:space="preserve">З метою забезпечення стабільної епізоотичної ситуації в районі та для запобігання поширення інфекції тварин , спеціалістами області розроблені та направлені на місця пропозиції щодо ліквідації наслідків прояву інфекційного захворювання ВРХ на лейкоз, а саме прийняття програми </w:t>
      </w:r>
      <w:proofErr w:type="spellStart"/>
      <w:r>
        <w:rPr>
          <w:sz w:val="28"/>
          <w:szCs w:val="28"/>
          <w:lang w:val="uk-UA"/>
        </w:rPr>
        <w:t>чми</w:t>
      </w:r>
      <w:proofErr w:type="spellEnd"/>
      <w:r>
        <w:rPr>
          <w:sz w:val="28"/>
          <w:szCs w:val="28"/>
          <w:lang w:val="uk-UA"/>
        </w:rPr>
        <w:t xml:space="preserve"> заходів фінансової підтримки фізичних осіб-власників тварин, які вимушені реалізувати поголів’я ВРХ, хворих на лейкоз, на переробні підприємства, шляхом виплати коштів за придбання здорової продуктивної корови чи </w:t>
      </w:r>
      <w:proofErr w:type="spellStart"/>
      <w:r>
        <w:rPr>
          <w:sz w:val="28"/>
          <w:szCs w:val="28"/>
          <w:lang w:val="uk-UA"/>
        </w:rPr>
        <w:t>нетеля</w:t>
      </w:r>
      <w:proofErr w:type="spellEnd"/>
      <w:r>
        <w:rPr>
          <w:sz w:val="28"/>
          <w:szCs w:val="28"/>
          <w:lang w:val="uk-UA"/>
        </w:rPr>
        <w:t xml:space="preserve"> для подальшого утримання в особистому.</w:t>
      </w:r>
    </w:p>
    <w:p w:rsidR="00B37C80" w:rsidRDefault="00B37C80" w:rsidP="00B37C80">
      <w:pPr>
        <w:pStyle w:val="a4"/>
        <w:ind w:firstLine="851"/>
        <w:jc w:val="both"/>
        <w:rPr>
          <w:b/>
          <w:sz w:val="28"/>
          <w:szCs w:val="28"/>
          <w:lang w:val="uk-UA"/>
        </w:rPr>
      </w:pPr>
      <w:r w:rsidRPr="003A74A9">
        <w:rPr>
          <w:b/>
          <w:sz w:val="28"/>
          <w:szCs w:val="28"/>
          <w:lang w:val="uk-UA"/>
        </w:rPr>
        <w:t>Завдання Програми:</w:t>
      </w:r>
    </w:p>
    <w:p w:rsidR="00B37C80" w:rsidRDefault="00B37C80" w:rsidP="00B37C80">
      <w:pPr>
        <w:pStyle w:val="a4"/>
        <w:numPr>
          <w:ilvl w:val="0"/>
          <w:numId w:val="6"/>
        </w:numPr>
        <w:ind w:left="0" w:firstLine="851"/>
        <w:jc w:val="both"/>
        <w:rPr>
          <w:sz w:val="28"/>
          <w:szCs w:val="28"/>
          <w:lang w:val="uk-UA"/>
        </w:rPr>
      </w:pPr>
      <w:r>
        <w:rPr>
          <w:sz w:val="28"/>
          <w:szCs w:val="28"/>
          <w:lang w:val="uk-UA"/>
        </w:rPr>
        <w:t>в</w:t>
      </w:r>
      <w:r w:rsidRPr="003A74A9">
        <w:rPr>
          <w:sz w:val="28"/>
          <w:szCs w:val="28"/>
          <w:lang w:val="uk-UA"/>
        </w:rPr>
        <w:t>иробництво безпечної для здоров</w:t>
      </w:r>
      <w:r w:rsidRPr="003A74A9">
        <w:rPr>
          <w:sz w:val="28"/>
          <w:szCs w:val="28"/>
        </w:rPr>
        <w:t>’</w:t>
      </w:r>
      <w:r w:rsidRPr="003A74A9">
        <w:rPr>
          <w:sz w:val="28"/>
          <w:szCs w:val="28"/>
          <w:lang w:val="uk-UA"/>
        </w:rPr>
        <w:t>я</w:t>
      </w:r>
      <w:r>
        <w:rPr>
          <w:sz w:val="28"/>
          <w:szCs w:val="28"/>
          <w:lang w:val="uk-UA"/>
        </w:rPr>
        <w:t xml:space="preserve"> людей сільськогосподарської продукції та продовольства;</w:t>
      </w:r>
    </w:p>
    <w:p w:rsidR="00B37C80" w:rsidRDefault="00B37C80" w:rsidP="00B37C80">
      <w:pPr>
        <w:pStyle w:val="a4"/>
        <w:numPr>
          <w:ilvl w:val="0"/>
          <w:numId w:val="6"/>
        </w:numPr>
        <w:ind w:left="0" w:firstLine="851"/>
        <w:jc w:val="both"/>
        <w:rPr>
          <w:sz w:val="28"/>
          <w:szCs w:val="28"/>
          <w:lang w:val="uk-UA"/>
        </w:rPr>
      </w:pPr>
      <w:r>
        <w:rPr>
          <w:sz w:val="28"/>
          <w:szCs w:val="28"/>
          <w:lang w:val="uk-UA"/>
        </w:rPr>
        <w:t>підтримка зайнятості сільського населення, створення додаткових можливостей для зростання доходів індивідуальних домогосподарств;</w:t>
      </w:r>
    </w:p>
    <w:p w:rsidR="00B37C80" w:rsidRDefault="00B37C80" w:rsidP="00B37C80">
      <w:pPr>
        <w:pStyle w:val="a4"/>
        <w:numPr>
          <w:ilvl w:val="0"/>
          <w:numId w:val="6"/>
        </w:numPr>
        <w:ind w:left="0" w:firstLine="851"/>
        <w:jc w:val="both"/>
        <w:rPr>
          <w:sz w:val="28"/>
          <w:szCs w:val="28"/>
          <w:lang w:val="uk-UA"/>
        </w:rPr>
      </w:pPr>
      <w:r>
        <w:rPr>
          <w:sz w:val="28"/>
          <w:szCs w:val="28"/>
          <w:lang w:val="uk-UA"/>
        </w:rPr>
        <w:t>забезпечення населення району продуктами харчування, безпечними для здоров</w:t>
      </w:r>
      <w:r w:rsidRPr="00AE6D13">
        <w:rPr>
          <w:sz w:val="28"/>
          <w:szCs w:val="28"/>
        </w:rPr>
        <w:t>’</w:t>
      </w:r>
      <w:r>
        <w:rPr>
          <w:sz w:val="28"/>
          <w:szCs w:val="28"/>
          <w:lang w:val="uk-UA"/>
        </w:rPr>
        <w:t>я;</w:t>
      </w:r>
    </w:p>
    <w:p w:rsidR="00B37C80" w:rsidRDefault="00B37C80" w:rsidP="00B37C80">
      <w:pPr>
        <w:pStyle w:val="a4"/>
        <w:numPr>
          <w:ilvl w:val="0"/>
          <w:numId w:val="6"/>
        </w:numPr>
        <w:ind w:left="0" w:firstLine="851"/>
        <w:jc w:val="both"/>
        <w:rPr>
          <w:sz w:val="28"/>
          <w:szCs w:val="28"/>
          <w:lang w:val="uk-UA"/>
        </w:rPr>
      </w:pPr>
      <w:r>
        <w:rPr>
          <w:sz w:val="28"/>
          <w:szCs w:val="28"/>
          <w:lang w:val="uk-UA"/>
        </w:rPr>
        <w:t>популяризація якісної продукції місцевих товаровиробників та підвищення її конкурентоспроможності.</w:t>
      </w:r>
    </w:p>
    <w:p w:rsidR="00B37C80" w:rsidRDefault="00B37C80" w:rsidP="00B37C80">
      <w:pPr>
        <w:pStyle w:val="a4"/>
        <w:jc w:val="both"/>
        <w:rPr>
          <w:sz w:val="28"/>
          <w:szCs w:val="28"/>
          <w:lang w:val="uk-UA"/>
        </w:rPr>
      </w:pPr>
    </w:p>
    <w:p w:rsidR="00B37C80" w:rsidRDefault="00B37C80" w:rsidP="00B37C80">
      <w:pPr>
        <w:pStyle w:val="a4"/>
        <w:ind w:firstLine="851"/>
        <w:jc w:val="both"/>
        <w:rPr>
          <w:b/>
          <w:sz w:val="28"/>
          <w:szCs w:val="28"/>
          <w:lang w:val="uk-UA"/>
        </w:rPr>
      </w:pPr>
    </w:p>
    <w:p w:rsidR="00B37C80" w:rsidRDefault="00B37C80" w:rsidP="00B37C80">
      <w:pPr>
        <w:pStyle w:val="a4"/>
        <w:ind w:firstLine="851"/>
        <w:jc w:val="both"/>
        <w:rPr>
          <w:b/>
          <w:sz w:val="28"/>
          <w:szCs w:val="28"/>
          <w:lang w:val="uk-UA"/>
        </w:rPr>
      </w:pPr>
      <w:r>
        <w:rPr>
          <w:b/>
          <w:sz w:val="28"/>
          <w:szCs w:val="28"/>
          <w:lang w:val="uk-UA"/>
        </w:rPr>
        <w:lastRenderedPageBreak/>
        <w:t>Вищезазначені завдання передбачається вирішити шляхом:</w:t>
      </w:r>
    </w:p>
    <w:p w:rsidR="00B37C80" w:rsidRDefault="00B37C80" w:rsidP="00B37C80">
      <w:pPr>
        <w:pStyle w:val="a4"/>
        <w:ind w:firstLine="851"/>
        <w:jc w:val="both"/>
        <w:rPr>
          <w:b/>
          <w:sz w:val="28"/>
          <w:szCs w:val="28"/>
          <w:lang w:val="uk-UA"/>
        </w:rPr>
      </w:pPr>
    </w:p>
    <w:p w:rsidR="00B37C80" w:rsidRDefault="00B37C80" w:rsidP="00B37C80">
      <w:pPr>
        <w:pStyle w:val="a4"/>
        <w:numPr>
          <w:ilvl w:val="0"/>
          <w:numId w:val="6"/>
        </w:numPr>
        <w:ind w:left="0" w:firstLine="851"/>
        <w:jc w:val="both"/>
        <w:rPr>
          <w:sz w:val="28"/>
          <w:szCs w:val="28"/>
          <w:lang w:val="uk-UA"/>
        </w:rPr>
      </w:pPr>
      <w:r w:rsidRPr="00AE6D13">
        <w:rPr>
          <w:sz w:val="28"/>
          <w:szCs w:val="28"/>
          <w:lang w:val="uk-UA"/>
        </w:rPr>
        <w:t>відшкодування фізичним особам – власникам тварин, у яких за результатами обстежень виявлено захворювання</w:t>
      </w:r>
      <w:r>
        <w:rPr>
          <w:sz w:val="28"/>
          <w:szCs w:val="28"/>
          <w:lang w:val="uk-UA"/>
        </w:rPr>
        <w:t xml:space="preserve"> на лейкоз, витрат на проведення арбітражних лабораторних досліджень щодо підтвердження захворювання;</w:t>
      </w:r>
    </w:p>
    <w:p w:rsidR="00B37C80" w:rsidRDefault="00B37C80" w:rsidP="00B37C80">
      <w:pPr>
        <w:pStyle w:val="a4"/>
        <w:numPr>
          <w:ilvl w:val="0"/>
          <w:numId w:val="6"/>
        </w:numPr>
        <w:ind w:left="0" w:firstLine="851"/>
        <w:jc w:val="both"/>
        <w:rPr>
          <w:sz w:val="28"/>
          <w:szCs w:val="28"/>
          <w:lang w:val="uk-UA"/>
        </w:rPr>
      </w:pPr>
      <w:r>
        <w:rPr>
          <w:sz w:val="28"/>
          <w:szCs w:val="28"/>
          <w:lang w:val="uk-UA"/>
        </w:rPr>
        <w:t xml:space="preserve">відшкодування фізичним особам – власникам  корів хворих на лейкоз, які вимушені були їх реалізувати для забою на переробні підприємства та придбали </w:t>
      </w:r>
      <w:proofErr w:type="spellStart"/>
      <w:r>
        <w:rPr>
          <w:sz w:val="28"/>
          <w:szCs w:val="28"/>
          <w:lang w:val="uk-UA"/>
        </w:rPr>
        <w:t>нетелів</w:t>
      </w:r>
      <w:proofErr w:type="spellEnd"/>
      <w:r>
        <w:rPr>
          <w:sz w:val="28"/>
          <w:szCs w:val="28"/>
          <w:lang w:val="uk-UA"/>
        </w:rPr>
        <w:t xml:space="preserve"> для подальшого їх утримання;</w:t>
      </w:r>
    </w:p>
    <w:p w:rsidR="00B37C80" w:rsidRDefault="00B37C80" w:rsidP="00B37C80">
      <w:pPr>
        <w:pStyle w:val="a4"/>
        <w:numPr>
          <w:ilvl w:val="0"/>
          <w:numId w:val="6"/>
        </w:numPr>
        <w:ind w:left="0" w:firstLine="851"/>
        <w:jc w:val="both"/>
        <w:rPr>
          <w:sz w:val="28"/>
          <w:szCs w:val="28"/>
          <w:lang w:val="uk-UA"/>
        </w:rPr>
      </w:pPr>
      <w:r>
        <w:rPr>
          <w:sz w:val="28"/>
          <w:szCs w:val="28"/>
          <w:lang w:val="uk-UA"/>
        </w:rPr>
        <w:t>висвітлення проблемних питань щодо запобігання інфекційним захворюванням через засоби масової інформації та соціальних мережах.</w:t>
      </w:r>
    </w:p>
    <w:p w:rsidR="00B37C80" w:rsidRDefault="00B37C80" w:rsidP="00B37C80">
      <w:pPr>
        <w:pStyle w:val="a4"/>
        <w:ind w:firstLine="993"/>
        <w:jc w:val="both"/>
        <w:rPr>
          <w:b/>
          <w:sz w:val="28"/>
          <w:szCs w:val="28"/>
          <w:lang w:val="uk-UA"/>
        </w:rPr>
      </w:pPr>
    </w:p>
    <w:p w:rsidR="00B37C80" w:rsidRDefault="00B37C80" w:rsidP="00B37C80">
      <w:pPr>
        <w:pStyle w:val="a4"/>
        <w:ind w:firstLine="993"/>
        <w:jc w:val="both"/>
        <w:rPr>
          <w:sz w:val="28"/>
          <w:szCs w:val="28"/>
          <w:lang w:val="uk-UA"/>
        </w:rPr>
      </w:pPr>
      <w:r>
        <w:rPr>
          <w:b/>
          <w:sz w:val="28"/>
          <w:szCs w:val="28"/>
          <w:lang w:val="uk-UA"/>
        </w:rPr>
        <w:t>Фінансове забезпечення</w:t>
      </w:r>
    </w:p>
    <w:p w:rsidR="00B37C80" w:rsidRDefault="00B37C80" w:rsidP="00B37C80">
      <w:pPr>
        <w:pStyle w:val="a4"/>
        <w:ind w:firstLine="993"/>
        <w:jc w:val="both"/>
        <w:rPr>
          <w:sz w:val="28"/>
          <w:szCs w:val="28"/>
          <w:lang w:val="uk-UA"/>
        </w:rPr>
      </w:pPr>
    </w:p>
    <w:p w:rsidR="00B37C80" w:rsidRDefault="00B37C80" w:rsidP="00B37C80">
      <w:pPr>
        <w:pStyle w:val="a4"/>
        <w:ind w:firstLine="993"/>
        <w:jc w:val="both"/>
        <w:rPr>
          <w:sz w:val="28"/>
          <w:szCs w:val="28"/>
          <w:lang w:val="uk-UA"/>
        </w:rPr>
      </w:pPr>
      <w:r>
        <w:rPr>
          <w:sz w:val="28"/>
          <w:szCs w:val="28"/>
          <w:lang w:val="uk-UA"/>
        </w:rPr>
        <w:t>Відшкодувати фізичним особам – власникам тварин, у яких за результатами обстежень виявлено захворювання на лейкоз, витрат на проведення арбітражних досліджень щодо підтвердження захворювання в розмірі 200 грн.  за одне арбітражне лабораторне дослідження. Передбачити в місцевих бюджетах кошти на проведення арбітражних лабораторних досліджень  в сумі 102,0 тис. гривень.</w:t>
      </w:r>
    </w:p>
    <w:p w:rsidR="00B37C80" w:rsidRDefault="00B37C80" w:rsidP="00B37C80">
      <w:pPr>
        <w:pStyle w:val="a4"/>
        <w:ind w:firstLine="993"/>
        <w:jc w:val="both"/>
        <w:rPr>
          <w:sz w:val="28"/>
          <w:szCs w:val="28"/>
          <w:lang w:val="uk-UA"/>
        </w:rPr>
      </w:pPr>
      <w:r>
        <w:rPr>
          <w:sz w:val="28"/>
          <w:szCs w:val="28"/>
          <w:lang w:val="uk-UA"/>
        </w:rPr>
        <w:t xml:space="preserve">Відшкодувати фізичним особам – власникам корів хворих на лейкоз, які вимушені були їх реалізувати для забою на переробні підприємства та придбали </w:t>
      </w:r>
      <w:proofErr w:type="spellStart"/>
      <w:r>
        <w:rPr>
          <w:sz w:val="28"/>
          <w:szCs w:val="28"/>
          <w:lang w:val="uk-UA"/>
        </w:rPr>
        <w:t>нетелів</w:t>
      </w:r>
      <w:proofErr w:type="spellEnd"/>
      <w:r>
        <w:rPr>
          <w:sz w:val="28"/>
          <w:szCs w:val="28"/>
          <w:lang w:val="uk-UA"/>
        </w:rPr>
        <w:t xml:space="preserve"> для подальшого їх утримання часткові витрати на їх придбання в розмірі 20% вартості </w:t>
      </w:r>
      <w:proofErr w:type="spellStart"/>
      <w:r>
        <w:rPr>
          <w:sz w:val="28"/>
          <w:szCs w:val="28"/>
          <w:lang w:val="uk-UA"/>
        </w:rPr>
        <w:t>нетеля</w:t>
      </w:r>
      <w:proofErr w:type="spellEnd"/>
      <w:r>
        <w:rPr>
          <w:sz w:val="28"/>
          <w:szCs w:val="28"/>
          <w:lang w:val="uk-UA"/>
        </w:rPr>
        <w:t xml:space="preserve">. Передбачити в місцевих бюджетах кошти для часткової компенсації витрат на придбання </w:t>
      </w:r>
      <w:proofErr w:type="spellStart"/>
      <w:r>
        <w:rPr>
          <w:sz w:val="28"/>
          <w:szCs w:val="28"/>
          <w:lang w:val="uk-UA"/>
        </w:rPr>
        <w:t>нетелів</w:t>
      </w:r>
      <w:proofErr w:type="spellEnd"/>
      <w:r>
        <w:rPr>
          <w:sz w:val="28"/>
          <w:szCs w:val="28"/>
          <w:lang w:val="uk-UA"/>
        </w:rPr>
        <w:t xml:space="preserve">                             в</w:t>
      </w:r>
      <w:r w:rsidR="0055417C">
        <w:rPr>
          <w:sz w:val="28"/>
          <w:szCs w:val="28"/>
          <w:lang w:val="uk-UA"/>
        </w:rPr>
        <w:t xml:space="preserve"> сумі 2040 </w:t>
      </w:r>
      <w:r>
        <w:rPr>
          <w:sz w:val="28"/>
          <w:szCs w:val="28"/>
          <w:lang w:val="uk-UA"/>
        </w:rPr>
        <w:t>тис.</w:t>
      </w:r>
      <w:r w:rsidR="0055417C">
        <w:rPr>
          <w:sz w:val="28"/>
          <w:szCs w:val="28"/>
          <w:lang w:val="uk-UA"/>
        </w:rPr>
        <w:t xml:space="preserve"> </w:t>
      </w:r>
      <w:r>
        <w:rPr>
          <w:sz w:val="28"/>
          <w:szCs w:val="28"/>
          <w:lang w:val="uk-UA"/>
        </w:rPr>
        <w:t>гр</w:t>
      </w:r>
      <w:r w:rsidR="0055417C">
        <w:rPr>
          <w:sz w:val="28"/>
          <w:szCs w:val="28"/>
          <w:lang w:val="uk-UA"/>
        </w:rPr>
        <w:t>ивень</w:t>
      </w:r>
      <w:r w:rsidR="008F351D">
        <w:rPr>
          <w:sz w:val="28"/>
          <w:szCs w:val="28"/>
          <w:lang w:val="uk-UA"/>
        </w:rPr>
        <w:t xml:space="preserve"> </w:t>
      </w:r>
      <w:r>
        <w:rPr>
          <w:sz w:val="28"/>
          <w:szCs w:val="28"/>
          <w:lang w:val="uk-UA"/>
        </w:rPr>
        <w:t>.</w:t>
      </w:r>
    </w:p>
    <w:p w:rsidR="00B37C80" w:rsidRDefault="00B37C80" w:rsidP="00B37C80">
      <w:pPr>
        <w:pStyle w:val="a4"/>
        <w:ind w:firstLine="993"/>
        <w:jc w:val="both"/>
        <w:rPr>
          <w:sz w:val="28"/>
          <w:szCs w:val="28"/>
          <w:lang w:val="uk-UA"/>
        </w:rPr>
      </w:pPr>
    </w:p>
    <w:p w:rsidR="00B37C80" w:rsidRDefault="00B37C80" w:rsidP="00B37C80">
      <w:pPr>
        <w:pStyle w:val="a4"/>
        <w:ind w:firstLine="993"/>
        <w:jc w:val="both"/>
        <w:rPr>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B37C80" w:rsidRPr="00101991" w:rsidTr="0079606A">
        <w:tc>
          <w:tcPr>
            <w:tcW w:w="3190" w:type="dxa"/>
          </w:tcPr>
          <w:p w:rsidR="00B37C80" w:rsidRPr="008F351D" w:rsidRDefault="00B37C80" w:rsidP="0079606A">
            <w:pPr>
              <w:pStyle w:val="a4"/>
              <w:jc w:val="both"/>
              <w:rPr>
                <w:b/>
                <w:sz w:val="28"/>
                <w:szCs w:val="28"/>
                <w:lang w:val="uk-UA"/>
              </w:rPr>
            </w:pPr>
            <w:r w:rsidRPr="008F351D">
              <w:rPr>
                <w:b/>
                <w:sz w:val="28"/>
                <w:szCs w:val="28"/>
                <w:lang w:val="uk-UA"/>
              </w:rPr>
              <w:t>Джерела фінансування</w:t>
            </w:r>
          </w:p>
        </w:tc>
        <w:tc>
          <w:tcPr>
            <w:tcW w:w="3190" w:type="dxa"/>
          </w:tcPr>
          <w:p w:rsidR="00B37C80" w:rsidRPr="008F351D" w:rsidRDefault="00B37C80" w:rsidP="0079606A">
            <w:pPr>
              <w:pStyle w:val="a4"/>
              <w:jc w:val="both"/>
              <w:rPr>
                <w:b/>
                <w:sz w:val="28"/>
                <w:szCs w:val="28"/>
                <w:lang w:val="uk-UA"/>
              </w:rPr>
            </w:pPr>
            <w:r w:rsidRPr="008F351D">
              <w:rPr>
                <w:b/>
                <w:sz w:val="28"/>
                <w:szCs w:val="28"/>
                <w:lang w:val="uk-UA"/>
              </w:rPr>
              <w:t>Етапи виконання Програми, роки</w:t>
            </w:r>
          </w:p>
        </w:tc>
        <w:tc>
          <w:tcPr>
            <w:tcW w:w="3191" w:type="dxa"/>
          </w:tcPr>
          <w:p w:rsidR="00B37C80" w:rsidRPr="008F351D" w:rsidRDefault="00B37C80" w:rsidP="008F351D">
            <w:pPr>
              <w:pStyle w:val="a4"/>
              <w:jc w:val="both"/>
              <w:rPr>
                <w:b/>
                <w:sz w:val="28"/>
                <w:szCs w:val="28"/>
                <w:lang w:val="uk-UA"/>
              </w:rPr>
            </w:pPr>
            <w:r w:rsidRPr="008F351D">
              <w:rPr>
                <w:b/>
                <w:sz w:val="28"/>
                <w:szCs w:val="28"/>
                <w:lang w:val="uk-UA"/>
              </w:rPr>
              <w:t xml:space="preserve">Обсяги фінансування, </w:t>
            </w:r>
            <w:r w:rsidR="008F351D" w:rsidRPr="008F351D">
              <w:rPr>
                <w:b/>
                <w:sz w:val="28"/>
                <w:szCs w:val="28"/>
                <w:lang w:val="uk-UA"/>
              </w:rPr>
              <w:t>тис</w:t>
            </w:r>
            <w:r w:rsidRPr="008F351D">
              <w:rPr>
                <w:b/>
                <w:sz w:val="28"/>
                <w:szCs w:val="28"/>
                <w:lang w:val="uk-UA"/>
              </w:rPr>
              <w:t>.</w:t>
            </w:r>
            <w:r w:rsidR="008F351D" w:rsidRPr="008F351D">
              <w:rPr>
                <w:b/>
                <w:sz w:val="28"/>
                <w:szCs w:val="28"/>
                <w:lang w:val="uk-UA"/>
              </w:rPr>
              <w:t xml:space="preserve"> </w:t>
            </w:r>
            <w:r w:rsidRPr="008F351D">
              <w:rPr>
                <w:b/>
                <w:sz w:val="28"/>
                <w:szCs w:val="28"/>
                <w:lang w:val="uk-UA"/>
              </w:rPr>
              <w:t>гр</w:t>
            </w:r>
            <w:r w:rsidR="008F351D" w:rsidRPr="008F351D">
              <w:rPr>
                <w:b/>
                <w:sz w:val="28"/>
                <w:szCs w:val="28"/>
                <w:lang w:val="uk-UA"/>
              </w:rPr>
              <w:t>ивень</w:t>
            </w:r>
          </w:p>
        </w:tc>
      </w:tr>
      <w:tr w:rsidR="00B37C80" w:rsidRPr="00101991" w:rsidTr="0079606A">
        <w:tc>
          <w:tcPr>
            <w:tcW w:w="3190" w:type="dxa"/>
            <w:vMerge w:val="restart"/>
          </w:tcPr>
          <w:p w:rsidR="00B37C80" w:rsidRPr="00101991" w:rsidRDefault="00B37C80" w:rsidP="0079606A">
            <w:pPr>
              <w:pStyle w:val="a4"/>
              <w:jc w:val="both"/>
              <w:rPr>
                <w:sz w:val="28"/>
                <w:szCs w:val="28"/>
                <w:lang w:val="uk-UA"/>
              </w:rPr>
            </w:pPr>
            <w:r w:rsidRPr="00101991">
              <w:rPr>
                <w:sz w:val="28"/>
                <w:szCs w:val="28"/>
                <w:lang w:val="uk-UA"/>
              </w:rPr>
              <w:t>Місцевий бюджет</w:t>
            </w:r>
            <w:r w:rsidR="008F351D">
              <w:rPr>
                <w:sz w:val="28"/>
                <w:szCs w:val="28"/>
                <w:lang w:val="uk-UA"/>
              </w:rPr>
              <w:t xml:space="preserve"> (районний бюджет та бюджети об’єднаних територіальних громад)</w:t>
            </w:r>
          </w:p>
        </w:tc>
        <w:tc>
          <w:tcPr>
            <w:tcW w:w="3190" w:type="dxa"/>
          </w:tcPr>
          <w:p w:rsidR="00B37C80" w:rsidRPr="00101991" w:rsidRDefault="00B37C80" w:rsidP="0079606A">
            <w:pPr>
              <w:pStyle w:val="a4"/>
              <w:jc w:val="center"/>
              <w:rPr>
                <w:sz w:val="28"/>
                <w:szCs w:val="28"/>
                <w:lang w:val="uk-UA"/>
              </w:rPr>
            </w:pPr>
            <w:r w:rsidRPr="00101991">
              <w:rPr>
                <w:sz w:val="28"/>
                <w:szCs w:val="28"/>
                <w:lang w:val="uk-UA"/>
              </w:rPr>
              <w:t>2018 рік</w:t>
            </w:r>
            <w:r w:rsidR="008F351D">
              <w:rPr>
                <w:sz w:val="28"/>
                <w:szCs w:val="28"/>
                <w:lang w:val="uk-UA"/>
              </w:rPr>
              <w:t xml:space="preserve"> (ІУ квартал)</w:t>
            </w:r>
          </w:p>
        </w:tc>
        <w:tc>
          <w:tcPr>
            <w:tcW w:w="3191" w:type="dxa"/>
          </w:tcPr>
          <w:p w:rsidR="00B37C80" w:rsidRPr="00101991" w:rsidRDefault="008F351D" w:rsidP="0079606A">
            <w:pPr>
              <w:pStyle w:val="a4"/>
              <w:jc w:val="center"/>
              <w:rPr>
                <w:sz w:val="28"/>
                <w:szCs w:val="28"/>
                <w:lang w:val="uk-UA"/>
              </w:rPr>
            </w:pPr>
            <w:r>
              <w:rPr>
                <w:sz w:val="28"/>
                <w:szCs w:val="28"/>
                <w:lang w:val="uk-UA"/>
              </w:rPr>
              <w:t>240,0</w:t>
            </w:r>
          </w:p>
        </w:tc>
      </w:tr>
      <w:tr w:rsidR="00B37C80" w:rsidRPr="00101991" w:rsidTr="0079606A">
        <w:tc>
          <w:tcPr>
            <w:tcW w:w="3190" w:type="dxa"/>
            <w:vMerge/>
          </w:tcPr>
          <w:p w:rsidR="00B37C80" w:rsidRPr="00101991" w:rsidRDefault="00B37C80" w:rsidP="0079606A">
            <w:pPr>
              <w:pStyle w:val="a4"/>
              <w:jc w:val="both"/>
              <w:rPr>
                <w:sz w:val="28"/>
                <w:szCs w:val="28"/>
                <w:lang w:val="uk-UA"/>
              </w:rPr>
            </w:pPr>
          </w:p>
        </w:tc>
        <w:tc>
          <w:tcPr>
            <w:tcW w:w="3190" w:type="dxa"/>
          </w:tcPr>
          <w:p w:rsidR="00B37C80" w:rsidRPr="00101991" w:rsidRDefault="00B37C80" w:rsidP="0079606A">
            <w:pPr>
              <w:pStyle w:val="a4"/>
              <w:jc w:val="center"/>
              <w:rPr>
                <w:sz w:val="28"/>
                <w:szCs w:val="28"/>
                <w:lang w:val="uk-UA"/>
              </w:rPr>
            </w:pPr>
            <w:r w:rsidRPr="00101991">
              <w:rPr>
                <w:sz w:val="28"/>
                <w:szCs w:val="28"/>
                <w:lang w:val="uk-UA"/>
              </w:rPr>
              <w:t>2019 рік</w:t>
            </w:r>
          </w:p>
        </w:tc>
        <w:tc>
          <w:tcPr>
            <w:tcW w:w="3191" w:type="dxa"/>
          </w:tcPr>
          <w:p w:rsidR="00B37C80" w:rsidRPr="00101991" w:rsidRDefault="008F351D" w:rsidP="0079606A">
            <w:pPr>
              <w:pStyle w:val="a4"/>
              <w:jc w:val="center"/>
              <w:rPr>
                <w:sz w:val="28"/>
                <w:szCs w:val="28"/>
                <w:lang w:val="uk-UA"/>
              </w:rPr>
            </w:pPr>
            <w:r>
              <w:rPr>
                <w:sz w:val="28"/>
                <w:szCs w:val="28"/>
                <w:lang w:val="uk-UA"/>
              </w:rPr>
              <w:t>900,0</w:t>
            </w:r>
          </w:p>
        </w:tc>
      </w:tr>
      <w:tr w:rsidR="00B37C80" w:rsidRPr="00101991" w:rsidTr="0079606A">
        <w:tc>
          <w:tcPr>
            <w:tcW w:w="3190" w:type="dxa"/>
            <w:vMerge/>
          </w:tcPr>
          <w:p w:rsidR="00B37C80" w:rsidRPr="00101991" w:rsidRDefault="00B37C80" w:rsidP="0079606A">
            <w:pPr>
              <w:pStyle w:val="a4"/>
              <w:jc w:val="both"/>
              <w:rPr>
                <w:sz w:val="28"/>
                <w:szCs w:val="28"/>
                <w:lang w:val="uk-UA"/>
              </w:rPr>
            </w:pPr>
          </w:p>
        </w:tc>
        <w:tc>
          <w:tcPr>
            <w:tcW w:w="3190" w:type="dxa"/>
          </w:tcPr>
          <w:p w:rsidR="00B37C80" w:rsidRPr="00101991" w:rsidRDefault="00B37C80" w:rsidP="0079606A">
            <w:pPr>
              <w:pStyle w:val="a4"/>
              <w:jc w:val="center"/>
              <w:rPr>
                <w:sz w:val="28"/>
                <w:szCs w:val="28"/>
                <w:lang w:val="uk-UA"/>
              </w:rPr>
            </w:pPr>
            <w:r w:rsidRPr="00101991">
              <w:rPr>
                <w:sz w:val="28"/>
                <w:szCs w:val="28"/>
                <w:lang w:val="uk-UA"/>
              </w:rPr>
              <w:t>2020 рік</w:t>
            </w:r>
          </w:p>
        </w:tc>
        <w:tc>
          <w:tcPr>
            <w:tcW w:w="3191" w:type="dxa"/>
          </w:tcPr>
          <w:p w:rsidR="00B37C80" w:rsidRPr="00101991" w:rsidRDefault="008F351D" w:rsidP="0079606A">
            <w:pPr>
              <w:pStyle w:val="a4"/>
              <w:jc w:val="center"/>
              <w:rPr>
                <w:sz w:val="28"/>
                <w:szCs w:val="28"/>
                <w:lang w:val="uk-UA"/>
              </w:rPr>
            </w:pPr>
            <w:r>
              <w:rPr>
                <w:sz w:val="28"/>
                <w:szCs w:val="28"/>
                <w:lang w:val="uk-UA"/>
              </w:rPr>
              <w:t>900,0</w:t>
            </w:r>
          </w:p>
        </w:tc>
      </w:tr>
      <w:tr w:rsidR="00B37C80" w:rsidRPr="00101991" w:rsidTr="0079606A">
        <w:tc>
          <w:tcPr>
            <w:tcW w:w="3190" w:type="dxa"/>
            <w:vMerge/>
          </w:tcPr>
          <w:p w:rsidR="00B37C80" w:rsidRPr="00101991" w:rsidRDefault="00B37C80" w:rsidP="0079606A">
            <w:pPr>
              <w:pStyle w:val="a4"/>
              <w:jc w:val="both"/>
              <w:rPr>
                <w:sz w:val="28"/>
                <w:szCs w:val="28"/>
                <w:lang w:val="uk-UA"/>
              </w:rPr>
            </w:pPr>
          </w:p>
        </w:tc>
        <w:tc>
          <w:tcPr>
            <w:tcW w:w="3190" w:type="dxa"/>
          </w:tcPr>
          <w:p w:rsidR="00B37C80" w:rsidRPr="008F351D" w:rsidRDefault="00B37C80" w:rsidP="0079606A">
            <w:pPr>
              <w:pStyle w:val="a4"/>
              <w:jc w:val="center"/>
              <w:rPr>
                <w:b/>
                <w:sz w:val="28"/>
                <w:szCs w:val="28"/>
                <w:lang w:val="uk-UA"/>
              </w:rPr>
            </w:pPr>
            <w:r w:rsidRPr="008F351D">
              <w:rPr>
                <w:b/>
                <w:sz w:val="28"/>
                <w:szCs w:val="28"/>
                <w:lang w:val="uk-UA"/>
              </w:rPr>
              <w:t>разом</w:t>
            </w:r>
          </w:p>
        </w:tc>
        <w:tc>
          <w:tcPr>
            <w:tcW w:w="3191" w:type="dxa"/>
          </w:tcPr>
          <w:p w:rsidR="00B37C80" w:rsidRPr="008F351D" w:rsidRDefault="008F351D" w:rsidP="0079606A">
            <w:pPr>
              <w:pStyle w:val="a4"/>
              <w:jc w:val="center"/>
              <w:rPr>
                <w:b/>
                <w:sz w:val="28"/>
                <w:szCs w:val="28"/>
                <w:lang w:val="uk-UA"/>
              </w:rPr>
            </w:pPr>
            <w:r w:rsidRPr="008F351D">
              <w:rPr>
                <w:b/>
                <w:sz w:val="28"/>
                <w:szCs w:val="28"/>
                <w:lang w:val="uk-UA"/>
              </w:rPr>
              <w:t>2040,0</w:t>
            </w:r>
          </w:p>
        </w:tc>
      </w:tr>
    </w:tbl>
    <w:p w:rsidR="00B37C80" w:rsidRPr="00E9435D" w:rsidRDefault="00B37C80" w:rsidP="00B37C80">
      <w:pPr>
        <w:pStyle w:val="a4"/>
        <w:ind w:firstLine="993"/>
        <w:jc w:val="both"/>
        <w:rPr>
          <w:sz w:val="28"/>
          <w:szCs w:val="28"/>
          <w:lang w:val="uk-UA"/>
        </w:rPr>
      </w:pPr>
    </w:p>
    <w:p w:rsidR="00B37C80" w:rsidRPr="00AE6D13" w:rsidRDefault="00B37C80" w:rsidP="00B37C80">
      <w:pPr>
        <w:pStyle w:val="a4"/>
        <w:ind w:firstLine="851"/>
        <w:jc w:val="both"/>
        <w:rPr>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pPr>
    </w:p>
    <w:p w:rsidR="009417CC" w:rsidRDefault="009417CC" w:rsidP="00AB2DBD">
      <w:pPr>
        <w:pStyle w:val="a4"/>
        <w:ind w:firstLine="851"/>
        <w:jc w:val="center"/>
        <w:rPr>
          <w:b/>
          <w:sz w:val="28"/>
          <w:szCs w:val="28"/>
          <w:lang w:val="uk-UA"/>
        </w:rPr>
        <w:sectPr w:rsidR="009417CC" w:rsidSect="00027350">
          <w:pgSz w:w="11906" w:h="16838"/>
          <w:pgMar w:top="1134" w:right="850" w:bottom="1134" w:left="1701" w:header="708" w:footer="708" w:gutter="0"/>
          <w:cols w:space="708"/>
          <w:docGrid w:linePitch="360"/>
        </w:sectPr>
      </w:pPr>
    </w:p>
    <w:p w:rsidR="0080274B" w:rsidRDefault="00F37ACB" w:rsidP="00AB2DBD">
      <w:pPr>
        <w:pStyle w:val="a4"/>
        <w:ind w:firstLine="851"/>
        <w:jc w:val="center"/>
        <w:rPr>
          <w:b/>
          <w:sz w:val="28"/>
          <w:szCs w:val="28"/>
          <w:lang w:val="uk-UA"/>
        </w:rPr>
      </w:pPr>
      <w:r w:rsidRPr="00AB2DBD">
        <w:rPr>
          <w:b/>
          <w:sz w:val="28"/>
          <w:szCs w:val="28"/>
          <w:lang w:val="uk-UA"/>
        </w:rPr>
        <w:lastRenderedPageBreak/>
        <w:t xml:space="preserve">Інформація </w:t>
      </w:r>
    </w:p>
    <w:p w:rsidR="00B37C80" w:rsidRPr="00AB2DBD" w:rsidRDefault="00F37ACB" w:rsidP="00AB2DBD">
      <w:pPr>
        <w:pStyle w:val="a4"/>
        <w:ind w:firstLine="851"/>
        <w:jc w:val="center"/>
        <w:rPr>
          <w:b/>
          <w:sz w:val="28"/>
          <w:szCs w:val="28"/>
          <w:lang w:val="uk-UA"/>
        </w:rPr>
      </w:pPr>
      <w:r w:rsidRPr="00AB2DBD">
        <w:rPr>
          <w:b/>
          <w:sz w:val="28"/>
          <w:szCs w:val="28"/>
          <w:lang w:val="uk-UA"/>
        </w:rPr>
        <w:t xml:space="preserve">про виділення РІД+ корів </w:t>
      </w:r>
      <w:r w:rsidR="00864069">
        <w:rPr>
          <w:b/>
          <w:sz w:val="28"/>
          <w:szCs w:val="28"/>
          <w:lang w:val="uk-UA"/>
        </w:rPr>
        <w:t xml:space="preserve">в </w:t>
      </w:r>
      <w:r w:rsidRPr="00AB2DBD">
        <w:rPr>
          <w:b/>
          <w:sz w:val="28"/>
          <w:szCs w:val="28"/>
          <w:lang w:val="uk-UA"/>
        </w:rPr>
        <w:t>підсобних господарствах населення Недригайлівського району та розрахункова потреба коштів для заміщення РІД</w:t>
      </w:r>
      <w:r w:rsidR="005A77ED">
        <w:rPr>
          <w:b/>
          <w:sz w:val="28"/>
          <w:szCs w:val="28"/>
          <w:lang w:val="uk-UA"/>
        </w:rPr>
        <w:t xml:space="preserve">+ </w:t>
      </w:r>
      <w:r w:rsidRPr="00AB2DBD">
        <w:rPr>
          <w:b/>
          <w:sz w:val="28"/>
          <w:szCs w:val="28"/>
          <w:lang w:val="uk-UA"/>
        </w:rPr>
        <w:t xml:space="preserve">корів на </w:t>
      </w:r>
      <w:proofErr w:type="spellStart"/>
      <w:r w:rsidRPr="00AB2DBD">
        <w:rPr>
          <w:b/>
          <w:sz w:val="28"/>
          <w:szCs w:val="28"/>
          <w:lang w:val="uk-UA"/>
        </w:rPr>
        <w:t>нетелів</w:t>
      </w:r>
      <w:proofErr w:type="spellEnd"/>
    </w:p>
    <w:p w:rsidR="00B37C80" w:rsidRPr="00AB2DBD" w:rsidRDefault="00B37C80" w:rsidP="00AB2DBD">
      <w:pPr>
        <w:pStyle w:val="a4"/>
        <w:ind w:firstLine="851"/>
        <w:jc w:val="center"/>
        <w:rPr>
          <w:b/>
          <w:sz w:val="28"/>
          <w:szCs w:val="28"/>
          <w:lang w:val="uk-UA"/>
        </w:rPr>
      </w:pPr>
    </w:p>
    <w:tbl>
      <w:tblPr>
        <w:tblStyle w:val="a9"/>
        <w:tblW w:w="15877" w:type="dxa"/>
        <w:tblInd w:w="-601" w:type="dxa"/>
        <w:tblLook w:val="04A0"/>
      </w:tblPr>
      <w:tblGrid>
        <w:gridCol w:w="3119"/>
        <w:gridCol w:w="2268"/>
        <w:gridCol w:w="2126"/>
        <w:gridCol w:w="2552"/>
        <w:gridCol w:w="1984"/>
        <w:gridCol w:w="2127"/>
        <w:gridCol w:w="1701"/>
      </w:tblGrid>
      <w:tr w:rsidR="009417CC" w:rsidTr="009417CC">
        <w:tc>
          <w:tcPr>
            <w:tcW w:w="3119" w:type="dxa"/>
          </w:tcPr>
          <w:p w:rsidR="00AB2DBD" w:rsidRPr="002339D5" w:rsidRDefault="00AB2DBD" w:rsidP="009417CC">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Сільська</w:t>
            </w:r>
            <w:r w:rsidR="009417CC" w:rsidRPr="002339D5">
              <w:rPr>
                <w:rFonts w:ascii="Times New Roman" w:hAnsi="Times New Roman" w:cs="Times New Roman"/>
                <w:b/>
                <w:sz w:val="24"/>
                <w:szCs w:val="24"/>
                <w:lang w:val="uk-UA"/>
              </w:rPr>
              <w:t>,</w:t>
            </w:r>
            <w:r w:rsidRPr="002339D5">
              <w:rPr>
                <w:rFonts w:ascii="Times New Roman" w:hAnsi="Times New Roman" w:cs="Times New Roman"/>
                <w:b/>
                <w:sz w:val="24"/>
                <w:szCs w:val="24"/>
                <w:lang w:val="uk-UA"/>
              </w:rPr>
              <w:t xml:space="preserve"> селищна рада</w:t>
            </w:r>
          </w:p>
        </w:tc>
        <w:tc>
          <w:tcPr>
            <w:tcW w:w="2268" w:type="dxa"/>
          </w:tcPr>
          <w:p w:rsidR="00AB2DBD" w:rsidRPr="002339D5" w:rsidRDefault="00AB2DBD" w:rsidP="00864069">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Досліджен</w:t>
            </w:r>
            <w:r w:rsidR="00465DB0" w:rsidRPr="002339D5">
              <w:rPr>
                <w:rFonts w:ascii="Times New Roman" w:hAnsi="Times New Roman" w:cs="Times New Roman"/>
                <w:b/>
                <w:sz w:val="24"/>
                <w:szCs w:val="24"/>
                <w:lang w:val="uk-UA"/>
              </w:rPr>
              <w:t>о</w:t>
            </w:r>
            <w:r w:rsidRPr="002339D5">
              <w:rPr>
                <w:rFonts w:ascii="Times New Roman" w:hAnsi="Times New Roman" w:cs="Times New Roman"/>
                <w:b/>
                <w:sz w:val="24"/>
                <w:szCs w:val="24"/>
                <w:lang w:val="uk-UA"/>
              </w:rPr>
              <w:t xml:space="preserve"> корів з початку 2018 року, </w:t>
            </w:r>
            <w:r w:rsidR="00864069">
              <w:rPr>
                <w:rFonts w:ascii="Times New Roman" w:hAnsi="Times New Roman" w:cs="Times New Roman"/>
                <w:b/>
                <w:sz w:val="24"/>
                <w:szCs w:val="24"/>
                <w:lang w:val="uk-UA"/>
              </w:rPr>
              <w:t>гол</w:t>
            </w:r>
            <w:r w:rsidRPr="002339D5">
              <w:rPr>
                <w:rFonts w:ascii="Times New Roman" w:hAnsi="Times New Roman" w:cs="Times New Roman"/>
                <w:b/>
                <w:sz w:val="24"/>
                <w:szCs w:val="24"/>
                <w:lang w:val="uk-UA"/>
              </w:rPr>
              <w:t>ів</w:t>
            </w:r>
          </w:p>
        </w:tc>
        <w:tc>
          <w:tcPr>
            <w:tcW w:w="2126" w:type="dxa"/>
          </w:tcPr>
          <w:p w:rsidR="00AB2DBD" w:rsidRPr="002339D5" w:rsidRDefault="00AB2DBD" w:rsidP="00A64416">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Виділення РІД+ корів на 01.06.2018, голів</w:t>
            </w:r>
          </w:p>
        </w:tc>
        <w:tc>
          <w:tcPr>
            <w:tcW w:w="2552" w:type="dxa"/>
          </w:tcPr>
          <w:p w:rsidR="00AB2DBD" w:rsidRPr="002339D5" w:rsidRDefault="00AB2DBD" w:rsidP="00A64416">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Залишилося РІД +</w:t>
            </w:r>
            <w:r w:rsidR="0073675C" w:rsidRPr="002339D5">
              <w:rPr>
                <w:rFonts w:ascii="Times New Roman" w:hAnsi="Times New Roman" w:cs="Times New Roman"/>
                <w:b/>
                <w:sz w:val="24"/>
                <w:szCs w:val="24"/>
                <w:lang w:val="uk-UA"/>
              </w:rPr>
              <w:t xml:space="preserve"> корів на 01.09.2018, голів</w:t>
            </w:r>
          </w:p>
        </w:tc>
        <w:tc>
          <w:tcPr>
            <w:tcW w:w="1984" w:type="dxa"/>
          </w:tcPr>
          <w:p w:rsidR="00AB2DBD" w:rsidRPr="002339D5" w:rsidRDefault="0073675C" w:rsidP="0073675C">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Необхідна сума коштів на арбітражну перевірку крові, тис</w:t>
            </w:r>
            <w:r w:rsidR="008150A9">
              <w:rPr>
                <w:rFonts w:ascii="Times New Roman" w:hAnsi="Times New Roman" w:cs="Times New Roman"/>
                <w:b/>
                <w:sz w:val="24"/>
                <w:szCs w:val="24"/>
                <w:lang w:val="uk-UA"/>
              </w:rPr>
              <w:t>.</w:t>
            </w:r>
            <w:r w:rsidRPr="002339D5">
              <w:rPr>
                <w:rFonts w:ascii="Times New Roman" w:hAnsi="Times New Roman" w:cs="Times New Roman"/>
                <w:b/>
                <w:sz w:val="24"/>
                <w:szCs w:val="24"/>
                <w:lang w:val="uk-UA"/>
              </w:rPr>
              <w:t xml:space="preserve">  гривень</w:t>
            </w:r>
          </w:p>
        </w:tc>
        <w:tc>
          <w:tcPr>
            <w:tcW w:w="2127" w:type="dxa"/>
          </w:tcPr>
          <w:p w:rsidR="00AB2DBD" w:rsidRPr="002339D5" w:rsidRDefault="0073675C" w:rsidP="0073675C">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 xml:space="preserve">Необхідна сума коштів для часткового відшкодування вартості придбання </w:t>
            </w:r>
            <w:proofErr w:type="spellStart"/>
            <w:r w:rsidRPr="002339D5">
              <w:rPr>
                <w:rFonts w:ascii="Times New Roman" w:hAnsi="Times New Roman" w:cs="Times New Roman"/>
                <w:b/>
                <w:sz w:val="24"/>
                <w:szCs w:val="24"/>
                <w:lang w:val="uk-UA"/>
              </w:rPr>
              <w:t>нетелів</w:t>
            </w:r>
            <w:proofErr w:type="spellEnd"/>
            <w:r w:rsidRPr="002339D5">
              <w:rPr>
                <w:rFonts w:ascii="Times New Roman" w:hAnsi="Times New Roman" w:cs="Times New Roman"/>
                <w:b/>
                <w:sz w:val="24"/>
                <w:szCs w:val="24"/>
                <w:lang w:val="uk-UA"/>
              </w:rPr>
              <w:t>, тис</w:t>
            </w:r>
            <w:r w:rsidR="002339D5">
              <w:rPr>
                <w:rFonts w:ascii="Times New Roman" w:hAnsi="Times New Roman" w:cs="Times New Roman"/>
                <w:b/>
                <w:sz w:val="24"/>
                <w:szCs w:val="24"/>
                <w:lang w:val="uk-UA"/>
              </w:rPr>
              <w:t>.</w:t>
            </w:r>
            <w:r w:rsidRPr="002339D5">
              <w:rPr>
                <w:rFonts w:ascii="Times New Roman" w:hAnsi="Times New Roman" w:cs="Times New Roman"/>
                <w:b/>
                <w:sz w:val="24"/>
                <w:szCs w:val="24"/>
                <w:lang w:val="uk-UA"/>
              </w:rPr>
              <w:t xml:space="preserve"> гривень</w:t>
            </w:r>
          </w:p>
        </w:tc>
        <w:tc>
          <w:tcPr>
            <w:tcW w:w="1701" w:type="dxa"/>
          </w:tcPr>
          <w:p w:rsidR="00AB2DBD" w:rsidRPr="002339D5" w:rsidRDefault="0073675C" w:rsidP="00A64416">
            <w:pPr>
              <w:jc w:val="center"/>
              <w:rPr>
                <w:rFonts w:ascii="Times New Roman" w:hAnsi="Times New Roman" w:cs="Times New Roman"/>
                <w:b/>
                <w:sz w:val="24"/>
                <w:szCs w:val="24"/>
                <w:lang w:val="uk-UA"/>
              </w:rPr>
            </w:pPr>
            <w:r w:rsidRPr="002339D5">
              <w:rPr>
                <w:rFonts w:ascii="Times New Roman" w:hAnsi="Times New Roman" w:cs="Times New Roman"/>
                <w:b/>
                <w:sz w:val="24"/>
                <w:szCs w:val="24"/>
                <w:lang w:val="uk-UA"/>
              </w:rPr>
              <w:t>Загальна потреба коштів, тис</w:t>
            </w:r>
            <w:r w:rsidR="009417CC" w:rsidRPr="002339D5">
              <w:rPr>
                <w:rFonts w:ascii="Times New Roman" w:hAnsi="Times New Roman" w:cs="Times New Roman"/>
                <w:b/>
                <w:sz w:val="24"/>
                <w:szCs w:val="24"/>
                <w:lang w:val="uk-UA"/>
              </w:rPr>
              <w:t>.</w:t>
            </w:r>
            <w:r w:rsidRPr="002339D5">
              <w:rPr>
                <w:rFonts w:ascii="Times New Roman" w:hAnsi="Times New Roman" w:cs="Times New Roman"/>
                <w:b/>
                <w:sz w:val="24"/>
                <w:szCs w:val="24"/>
                <w:lang w:val="uk-UA"/>
              </w:rPr>
              <w:t xml:space="preserve"> гривень</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Недригайлвська</w:t>
            </w:r>
            <w:proofErr w:type="spellEnd"/>
            <w:r w:rsidRPr="002339D5">
              <w:rPr>
                <w:rFonts w:ascii="Times New Roman" w:hAnsi="Times New Roman" w:cs="Times New Roman"/>
                <w:sz w:val="24"/>
                <w:szCs w:val="24"/>
                <w:lang w:val="uk-UA"/>
              </w:rPr>
              <w:t xml:space="preserve"> селищна ОТГ</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615</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196</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191</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38,2</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764,0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802,2</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Вільшанська сільська ОТГ</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649</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182</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180</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36,0</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720,0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756,0</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Коровинська</w:t>
            </w:r>
            <w:proofErr w:type="spellEnd"/>
            <w:r w:rsidRPr="002339D5">
              <w:rPr>
                <w:rFonts w:ascii="Times New Roman" w:hAnsi="Times New Roman" w:cs="Times New Roman"/>
                <w:sz w:val="24"/>
                <w:szCs w:val="24"/>
                <w:lang w:val="uk-UA"/>
              </w:rPr>
              <w:t xml:space="preserve">  сільська ОТГ</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479</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89</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77</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15,4</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308,0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323,4</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Тернівська</w:t>
            </w:r>
            <w:proofErr w:type="spellEnd"/>
            <w:r w:rsidRPr="002339D5">
              <w:rPr>
                <w:rFonts w:ascii="Times New Roman" w:hAnsi="Times New Roman" w:cs="Times New Roman"/>
                <w:sz w:val="24"/>
                <w:szCs w:val="24"/>
                <w:lang w:val="uk-UA"/>
              </w:rPr>
              <w:t xml:space="preserve"> селищна рада</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211</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38</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38</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7,6</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152,0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159,6</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Засульська</w:t>
            </w:r>
            <w:proofErr w:type="spellEnd"/>
            <w:r w:rsidRPr="002339D5">
              <w:rPr>
                <w:rFonts w:ascii="Times New Roman" w:hAnsi="Times New Roman" w:cs="Times New Roman"/>
                <w:sz w:val="24"/>
                <w:szCs w:val="24"/>
                <w:lang w:val="uk-UA"/>
              </w:rPr>
              <w:t xml:space="preserve"> сільська рада </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50</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16</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13</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2,6</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52,0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54,6</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Курманівська</w:t>
            </w:r>
            <w:proofErr w:type="spellEnd"/>
            <w:r w:rsidRPr="002339D5">
              <w:rPr>
                <w:rFonts w:ascii="Times New Roman" w:hAnsi="Times New Roman" w:cs="Times New Roman"/>
                <w:sz w:val="24"/>
                <w:szCs w:val="24"/>
                <w:lang w:val="uk-UA"/>
              </w:rPr>
              <w:t xml:space="preserve"> сільська рада</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45</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9</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9</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1,8</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36,0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37,8</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Сакунихська</w:t>
            </w:r>
            <w:proofErr w:type="spellEnd"/>
            <w:r w:rsidRPr="002339D5">
              <w:rPr>
                <w:rFonts w:ascii="Times New Roman" w:hAnsi="Times New Roman" w:cs="Times New Roman"/>
                <w:sz w:val="24"/>
                <w:szCs w:val="24"/>
                <w:lang w:val="uk-UA"/>
              </w:rPr>
              <w:t xml:space="preserve"> сільська рада</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40</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5</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2</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0,4</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8,0</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8,4</w:t>
            </w:r>
          </w:p>
        </w:tc>
      </w:tr>
      <w:tr w:rsidR="009417CC" w:rsidTr="009417CC">
        <w:tc>
          <w:tcPr>
            <w:tcW w:w="3119" w:type="dxa"/>
          </w:tcPr>
          <w:p w:rsidR="00AB2DBD" w:rsidRPr="002339D5" w:rsidRDefault="00465DB0" w:rsidP="00465DB0">
            <w:pPr>
              <w:rPr>
                <w:rFonts w:ascii="Times New Roman" w:hAnsi="Times New Roman" w:cs="Times New Roman"/>
                <w:sz w:val="24"/>
                <w:szCs w:val="24"/>
                <w:lang w:val="uk-UA"/>
              </w:rPr>
            </w:pPr>
            <w:proofErr w:type="spellStart"/>
            <w:r w:rsidRPr="002339D5">
              <w:rPr>
                <w:rFonts w:ascii="Times New Roman" w:hAnsi="Times New Roman" w:cs="Times New Roman"/>
                <w:sz w:val="24"/>
                <w:szCs w:val="24"/>
                <w:lang w:val="uk-UA"/>
              </w:rPr>
              <w:t>Червонослобідська</w:t>
            </w:r>
            <w:proofErr w:type="spellEnd"/>
            <w:r w:rsidRPr="002339D5">
              <w:rPr>
                <w:rFonts w:ascii="Times New Roman" w:hAnsi="Times New Roman" w:cs="Times New Roman"/>
                <w:sz w:val="24"/>
                <w:szCs w:val="24"/>
                <w:lang w:val="uk-UA"/>
              </w:rPr>
              <w:t xml:space="preserve"> сільська рада</w:t>
            </w:r>
          </w:p>
        </w:tc>
        <w:tc>
          <w:tcPr>
            <w:tcW w:w="2268"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29</w:t>
            </w:r>
          </w:p>
        </w:tc>
        <w:tc>
          <w:tcPr>
            <w:tcW w:w="2126"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w:t>
            </w:r>
          </w:p>
        </w:tc>
        <w:tc>
          <w:tcPr>
            <w:tcW w:w="2552"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w:t>
            </w:r>
          </w:p>
        </w:tc>
        <w:tc>
          <w:tcPr>
            <w:tcW w:w="1984"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w:t>
            </w:r>
          </w:p>
        </w:tc>
        <w:tc>
          <w:tcPr>
            <w:tcW w:w="2127"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w:t>
            </w:r>
          </w:p>
        </w:tc>
        <w:tc>
          <w:tcPr>
            <w:tcW w:w="1701" w:type="dxa"/>
          </w:tcPr>
          <w:p w:rsidR="00AB2DBD" w:rsidRPr="002339D5" w:rsidRDefault="00465DB0" w:rsidP="00465DB0">
            <w:pPr>
              <w:rPr>
                <w:rFonts w:ascii="Times New Roman" w:hAnsi="Times New Roman" w:cs="Times New Roman"/>
                <w:sz w:val="24"/>
                <w:szCs w:val="24"/>
                <w:lang w:val="uk-UA"/>
              </w:rPr>
            </w:pPr>
            <w:r w:rsidRPr="002339D5">
              <w:rPr>
                <w:rFonts w:ascii="Times New Roman" w:hAnsi="Times New Roman" w:cs="Times New Roman"/>
                <w:sz w:val="24"/>
                <w:szCs w:val="24"/>
                <w:lang w:val="uk-UA"/>
              </w:rPr>
              <w:t>-</w:t>
            </w:r>
          </w:p>
        </w:tc>
      </w:tr>
      <w:tr w:rsidR="009417CC" w:rsidTr="009417CC">
        <w:tc>
          <w:tcPr>
            <w:tcW w:w="3119" w:type="dxa"/>
          </w:tcPr>
          <w:p w:rsidR="00AB2DBD" w:rsidRDefault="00465DB0" w:rsidP="00465DB0">
            <w:pPr>
              <w:rPr>
                <w:rFonts w:ascii="Times New Roman" w:hAnsi="Times New Roman" w:cs="Times New Roman"/>
                <w:b/>
                <w:sz w:val="24"/>
                <w:szCs w:val="24"/>
                <w:lang w:val="uk-UA"/>
              </w:rPr>
            </w:pPr>
            <w:r>
              <w:rPr>
                <w:rFonts w:ascii="Times New Roman" w:hAnsi="Times New Roman" w:cs="Times New Roman"/>
                <w:b/>
                <w:sz w:val="24"/>
                <w:szCs w:val="24"/>
                <w:lang w:val="uk-UA"/>
              </w:rPr>
              <w:t>РАЗОМ</w:t>
            </w:r>
          </w:p>
        </w:tc>
        <w:tc>
          <w:tcPr>
            <w:tcW w:w="2268" w:type="dxa"/>
          </w:tcPr>
          <w:p w:rsidR="00AB2DBD" w:rsidRDefault="00465DB0" w:rsidP="00465DB0">
            <w:pPr>
              <w:rPr>
                <w:rFonts w:ascii="Times New Roman" w:hAnsi="Times New Roman" w:cs="Times New Roman"/>
                <w:b/>
                <w:sz w:val="24"/>
                <w:szCs w:val="24"/>
                <w:lang w:val="uk-UA"/>
              </w:rPr>
            </w:pPr>
            <w:r>
              <w:rPr>
                <w:rFonts w:ascii="Times New Roman" w:hAnsi="Times New Roman" w:cs="Times New Roman"/>
                <w:b/>
                <w:sz w:val="24"/>
                <w:szCs w:val="24"/>
                <w:lang w:val="uk-UA"/>
              </w:rPr>
              <w:t>2118</w:t>
            </w:r>
          </w:p>
        </w:tc>
        <w:tc>
          <w:tcPr>
            <w:tcW w:w="2126" w:type="dxa"/>
          </w:tcPr>
          <w:p w:rsidR="00AB2DBD" w:rsidRDefault="00CF351F" w:rsidP="00465DB0">
            <w:pPr>
              <w:rPr>
                <w:rFonts w:ascii="Times New Roman" w:hAnsi="Times New Roman" w:cs="Times New Roman"/>
                <w:b/>
                <w:sz w:val="24"/>
                <w:szCs w:val="24"/>
                <w:lang w:val="uk-UA"/>
              </w:rPr>
            </w:pPr>
            <w:r>
              <w:rPr>
                <w:rFonts w:ascii="Times New Roman" w:hAnsi="Times New Roman" w:cs="Times New Roman"/>
                <w:b/>
                <w:sz w:val="24"/>
                <w:szCs w:val="24"/>
                <w:lang w:val="uk-UA"/>
              </w:rPr>
              <w:t>535</w:t>
            </w:r>
          </w:p>
        </w:tc>
        <w:tc>
          <w:tcPr>
            <w:tcW w:w="2552" w:type="dxa"/>
          </w:tcPr>
          <w:p w:rsidR="00AB2DBD" w:rsidRDefault="00CF351F" w:rsidP="00465DB0">
            <w:pPr>
              <w:rPr>
                <w:rFonts w:ascii="Times New Roman" w:hAnsi="Times New Roman" w:cs="Times New Roman"/>
                <w:b/>
                <w:sz w:val="24"/>
                <w:szCs w:val="24"/>
                <w:lang w:val="uk-UA"/>
              </w:rPr>
            </w:pPr>
            <w:r>
              <w:rPr>
                <w:rFonts w:ascii="Times New Roman" w:hAnsi="Times New Roman" w:cs="Times New Roman"/>
                <w:b/>
                <w:sz w:val="24"/>
                <w:szCs w:val="24"/>
                <w:lang w:val="uk-UA"/>
              </w:rPr>
              <w:t>510</w:t>
            </w:r>
          </w:p>
        </w:tc>
        <w:tc>
          <w:tcPr>
            <w:tcW w:w="1984" w:type="dxa"/>
          </w:tcPr>
          <w:p w:rsidR="00AB2DBD" w:rsidRDefault="00CF351F" w:rsidP="00465DB0">
            <w:pPr>
              <w:rPr>
                <w:rFonts w:ascii="Times New Roman" w:hAnsi="Times New Roman" w:cs="Times New Roman"/>
                <w:b/>
                <w:sz w:val="24"/>
                <w:szCs w:val="24"/>
                <w:lang w:val="uk-UA"/>
              </w:rPr>
            </w:pPr>
            <w:r>
              <w:rPr>
                <w:rFonts w:ascii="Times New Roman" w:hAnsi="Times New Roman" w:cs="Times New Roman"/>
                <w:b/>
                <w:sz w:val="24"/>
                <w:szCs w:val="24"/>
                <w:lang w:val="uk-UA"/>
              </w:rPr>
              <w:t>102,0</w:t>
            </w:r>
          </w:p>
        </w:tc>
        <w:tc>
          <w:tcPr>
            <w:tcW w:w="2127" w:type="dxa"/>
          </w:tcPr>
          <w:p w:rsidR="00AB2DBD" w:rsidRDefault="00CF351F" w:rsidP="00465DB0">
            <w:pPr>
              <w:rPr>
                <w:rFonts w:ascii="Times New Roman" w:hAnsi="Times New Roman" w:cs="Times New Roman"/>
                <w:b/>
                <w:sz w:val="24"/>
                <w:szCs w:val="24"/>
                <w:lang w:val="uk-UA"/>
              </w:rPr>
            </w:pPr>
            <w:r>
              <w:rPr>
                <w:rFonts w:ascii="Times New Roman" w:hAnsi="Times New Roman" w:cs="Times New Roman"/>
                <w:b/>
                <w:sz w:val="24"/>
                <w:szCs w:val="24"/>
                <w:lang w:val="uk-UA"/>
              </w:rPr>
              <w:t>2040,0</w:t>
            </w:r>
          </w:p>
        </w:tc>
        <w:tc>
          <w:tcPr>
            <w:tcW w:w="1701" w:type="dxa"/>
          </w:tcPr>
          <w:p w:rsidR="00AB2DBD" w:rsidRDefault="00CF351F" w:rsidP="00465DB0">
            <w:pPr>
              <w:rPr>
                <w:rFonts w:ascii="Times New Roman" w:hAnsi="Times New Roman" w:cs="Times New Roman"/>
                <w:b/>
                <w:sz w:val="24"/>
                <w:szCs w:val="24"/>
                <w:lang w:val="uk-UA"/>
              </w:rPr>
            </w:pPr>
            <w:r>
              <w:rPr>
                <w:rFonts w:ascii="Times New Roman" w:hAnsi="Times New Roman" w:cs="Times New Roman"/>
                <w:b/>
                <w:sz w:val="24"/>
                <w:szCs w:val="24"/>
                <w:lang w:val="uk-UA"/>
              </w:rPr>
              <w:t>2142,0</w:t>
            </w:r>
          </w:p>
        </w:tc>
      </w:tr>
    </w:tbl>
    <w:p w:rsidR="005F1F44" w:rsidRPr="00CB55A0" w:rsidRDefault="005F1F44" w:rsidP="00A64416">
      <w:pPr>
        <w:jc w:val="center"/>
        <w:rPr>
          <w:rFonts w:ascii="Times New Roman" w:hAnsi="Times New Roman" w:cs="Times New Roman"/>
          <w:b/>
          <w:sz w:val="24"/>
          <w:szCs w:val="24"/>
          <w:lang w:val="uk-UA"/>
        </w:rPr>
      </w:pPr>
    </w:p>
    <w:p w:rsidR="00CA05C2" w:rsidRDefault="00CA05C2" w:rsidP="00A64416">
      <w:pPr>
        <w:widowControl w:val="0"/>
        <w:autoSpaceDE w:val="0"/>
        <w:autoSpaceDN w:val="0"/>
        <w:adjustRightInd w:val="0"/>
        <w:spacing w:after="0"/>
        <w:jc w:val="center"/>
        <w:rPr>
          <w:rFonts w:ascii="Times New Roman" w:hAnsi="Times New Roman" w:cs="Times New Roman"/>
          <w:b/>
          <w:sz w:val="28"/>
          <w:szCs w:val="28"/>
          <w:lang w:val="uk-UA"/>
        </w:rPr>
      </w:pPr>
    </w:p>
    <w:p w:rsidR="00CA05C2" w:rsidRDefault="00CA05C2" w:rsidP="00A64416">
      <w:pPr>
        <w:widowControl w:val="0"/>
        <w:autoSpaceDE w:val="0"/>
        <w:autoSpaceDN w:val="0"/>
        <w:adjustRightInd w:val="0"/>
        <w:spacing w:after="0"/>
        <w:jc w:val="center"/>
        <w:rPr>
          <w:rFonts w:ascii="Times New Roman" w:hAnsi="Times New Roman" w:cs="Times New Roman"/>
          <w:b/>
          <w:sz w:val="28"/>
          <w:szCs w:val="28"/>
          <w:lang w:val="uk-UA"/>
        </w:rPr>
      </w:pPr>
    </w:p>
    <w:p w:rsidR="009417CC" w:rsidRDefault="009417CC" w:rsidP="00A64416">
      <w:pPr>
        <w:widowControl w:val="0"/>
        <w:autoSpaceDE w:val="0"/>
        <w:autoSpaceDN w:val="0"/>
        <w:adjustRightInd w:val="0"/>
        <w:spacing w:after="0"/>
        <w:jc w:val="center"/>
        <w:rPr>
          <w:rFonts w:ascii="Times New Roman" w:hAnsi="Times New Roman" w:cs="Times New Roman"/>
          <w:b/>
          <w:sz w:val="28"/>
          <w:szCs w:val="28"/>
          <w:lang w:val="uk-UA"/>
        </w:rPr>
        <w:sectPr w:rsidR="009417CC" w:rsidSect="009417CC">
          <w:pgSz w:w="16838" w:h="11906" w:orient="landscape"/>
          <w:pgMar w:top="1701" w:right="1134" w:bottom="851" w:left="1134" w:header="709" w:footer="709" w:gutter="0"/>
          <w:cols w:space="708"/>
          <w:docGrid w:linePitch="360"/>
        </w:sectPr>
      </w:pPr>
    </w:p>
    <w:p w:rsidR="002B3D9D" w:rsidRDefault="002B3D9D" w:rsidP="007F5F94">
      <w:pPr>
        <w:widowControl w:val="0"/>
        <w:autoSpaceDE w:val="0"/>
        <w:autoSpaceDN w:val="0"/>
        <w:adjustRightInd w:val="0"/>
        <w:spacing w:after="0"/>
        <w:jc w:val="center"/>
      </w:pPr>
    </w:p>
    <w:sectPr w:rsidR="002B3D9D" w:rsidSect="000273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3A61186"/>
    <w:lvl w:ilvl="0">
      <w:start w:val="1"/>
      <w:numFmt w:val="bullet"/>
      <w:lvlText w:val=""/>
      <w:lvlJc w:val="left"/>
      <w:pPr>
        <w:tabs>
          <w:tab w:val="num" w:pos="360"/>
        </w:tabs>
        <w:ind w:left="360" w:hanging="360"/>
      </w:pPr>
      <w:rPr>
        <w:rFonts w:ascii="Symbol" w:hAnsi="Symbol" w:hint="default"/>
      </w:rPr>
    </w:lvl>
  </w:abstractNum>
  <w:abstractNum w:abstractNumId="1">
    <w:nsid w:val="02275041"/>
    <w:multiLevelType w:val="hybridMultilevel"/>
    <w:tmpl w:val="A964D074"/>
    <w:lvl w:ilvl="0" w:tplc="969E8EBE">
      <w:start w:val="1"/>
      <w:numFmt w:val="decimal"/>
      <w:lvlText w:val="%1)"/>
      <w:lvlJc w:val="left"/>
      <w:pPr>
        <w:ind w:left="1496" w:hanging="6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72F359D"/>
    <w:multiLevelType w:val="hybridMultilevel"/>
    <w:tmpl w:val="FCF016F8"/>
    <w:lvl w:ilvl="0" w:tplc="5AA86EBE">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2A564EC5"/>
    <w:multiLevelType w:val="hybridMultilevel"/>
    <w:tmpl w:val="D7EAD49A"/>
    <w:lvl w:ilvl="0" w:tplc="51F0DAB4">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8BA741A"/>
    <w:multiLevelType w:val="hybridMultilevel"/>
    <w:tmpl w:val="A152343A"/>
    <w:lvl w:ilvl="0" w:tplc="0E4A9102">
      <w:start w:val="1"/>
      <w:numFmt w:val="decimal"/>
      <w:lvlText w:val="%1."/>
      <w:lvlJc w:val="left"/>
      <w:pPr>
        <w:ind w:left="312" w:hanging="360"/>
      </w:pPr>
      <w:rPr>
        <w:rFonts w:hint="default"/>
        <w:color w:val="auto"/>
      </w:rPr>
    </w:lvl>
    <w:lvl w:ilvl="1" w:tplc="04190019" w:tentative="1">
      <w:start w:val="1"/>
      <w:numFmt w:val="lowerLetter"/>
      <w:lvlText w:val="%2."/>
      <w:lvlJc w:val="left"/>
      <w:pPr>
        <w:ind w:left="1032" w:hanging="360"/>
      </w:pPr>
    </w:lvl>
    <w:lvl w:ilvl="2" w:tplc="0419001B" w:tentative="1">
      <w:start w:val="1"/>
      <w:numFmt w:val="lowerRoman"/>
      <w:lvlText w:val="%3."/>
      <w:lvlJc w:val="right"/>
      <w:pPr>
        <w:ind w:left="1752" w:hanging="180"/>
      </w:pPr>
    </w:lvl>
    <w:lvl w:ilvl="3" w:tplc="0419000F" w:tentative="1">
      <w:start w:val="1"/>
      <w:numFmt w:val="decimal"/>
      <w:lvlText w:val="%4."/>
      <w:lvlJc w:val="left"/>
      <w:pPr>
        <w:ind w:left="2472" w:hanging="360"/>
      </w:pPr>
    </w:lvl>
    <w:lvl w:ilvl="4" w:tplc="04190019" w:tentative="1">
      <w:start w:val="1"/>
      <w:numFmt w:val="lowerLetter"/>
      <w:lvlText w:val="%5."/>
      <w:lvlJc w:val="left"/>
      <w:pPr>
        <w:ind w:left="3192" w:hanging="360"/>
      </w:pPr>
    </w:lvl>
    <w:lvl w:ilvl="5" w:tplc="0419001B" w:tentative="1">
      <w:start w:val="1"/>
      <w:numFmt w:val="lowerRoman"/>
      <w:lvlText w:val="%6."/>
      <w:lvlJc w:val="right"/>
      <w:pPr>
        <w:ind w:left="3912" w:hanging="180"/>
      </w:pPr>
    </w:lvl>
    <w:lvl w:ilvl="6" w:tplc="0419000F" w:tentative="1">
      <w:start w:val="1"/>
      <w:numFmt w:val="decimal"/>
      <w:lvlText w:val="%7."/>
      <w:lvlJc w:val="left"/>
      <w:pPr>
        <w:ind w:left="4632" w:hanging="360"/>
      </w:pPr>
    </w:lvl>
    <w:lvl w:ilvl="7" w:tplc="04190019" w:tentative="1">
      <w:start w:val="1"/>
      <w:numFmt w:val="lowerLetter"/>
      <w:lvlText w:val="%8."/>
      <w:lvlJc w:val="left"/>
      <w:pPr>
        <w:ind w:left="5352" w:hanging="360"/>
      </w:pPr>
    </w:lvl>
    <w:lvl w:ilvl="8" w:tplc="0419001B" w:tentative="1">
      <w:start w:val="1"/>
      <w:numFmt w:val="lowerRoman"/>
      <w:lvlText w:val="%9."/>
      <w:lvlJc w:val="right"/>
      <w:pPr>
        <w:ind w:left="6072" w:hanging="180"/>
      </w:pPr>
    </w:lvl>
  </w:abstractNum>
  <w:abstractNum w:abstractNumId="5">
    <w:nsid w:val="7F6F09CB"/>
    <w:multiLevelType w:val="hybridMultilevel"/>
    <w:tmpl w:val="371C9C60"/>
    <w:lvl w:ilvl="0" w:tplc="952099A8">
      <w:start w:val="1"/>
      <w:numFmt w:val="decimal"/>
      <w:lvlText w:val="%1."/>
      <w:lvlJc w:val="left"/>
      <w:pPr>
        <w:ind w:left="720" w:hanging="360"/>
      </w:pPr>
      <w:rPr>
        <w:rFonts w:cstheme="minorBidi"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4416"/>
    <w:rsid w:val="0007070C"/>
    <w:rsid w:val="00073788"/>
    <w:rsid w:val="000E6D11"/>
    <w:rsid w:val="00102DAE"/>
    <w:rsid w:val="00111DA9"/>
    <w:rsid w:val="00130393"/>
    <w:rsid w:val="00134BF2"/>
    <w:rsid w:val="00136720"/>
    <w:rsid w:val="001548C9"/>
    <w:rsid w:val="002030F7"/>
    <w:rsid w:val="00220912"/>
    <w:rsid w:val="002339D5"/>
    <w:rsid w:val="00274CC3"/>
    <w:rsid w:val="002A6EAB"/>
    <w:rsid w:val="002B3D9D"/>
    <w:rsid w:val="002C24B1"/>
    <w:rsid w:val="002C6E21"/>
    <w:rsid w:val="002E1A06"/>
    <w:rsid w:val="002F1DBD"/>
    <w:rsid w:val="003457C2"/>
    <w:rsid w:val="003535D9"/>
    <w:rsid w:val="00383BEC"/>
    <w:rsid w:val="003C1E7F"/>
    <w:rsid w:val="003C54EB"/>
    <w:rsid w:val="003F66D7"/>
    <w:rsid w:val="00465DB0"/>
    <w:rsid w:val="0049577C"/>
    <w:rsid w:val="004D0A27"/>
    <w:rsid w:val="004D644B"/>
    <w:rsid w:val="00521413"/>
    <w:rsid w:val="00543972"/>
    <w:rsid w:val="0055417C"/>
    <w:rsid w:val="005A77ED"/>
    <w:rsid w:val="005D29E6"/>
    <w:rsid w:val="005F1F44"/>
    <w:rsid w:val="00610370"/>
    <w:rsid w:val="0062227D"/>
    <w:rsid w:val="006509B1"/>
    <w:rsid w:val="00656C26"/>
    <w:rsid w:val="00681EC9"/>
    <w:rsid w:val="006B6CCB"/>
    <w:rsid w:val="006C3646"/>
    <w:rsid w:val="00700476"/>
    <w:rsid w:val="0073675C"/>
    <w:rsid w:val="0075383B"/>
    <w:rsid w:val="00753A1F"/>
    <w:rsid w:val="00772E1D"/>
    <w:rsid w:val="007E3611"/>
    <w:rsid w:val="007F5F94"/>
    <w:rsid w:val="0080274B"/>
    <w:rsid w:val="008150A9"/>
    <w:rsid w:val="00864069"/>
    <w:rsid w:val="00891EB8"/>
    <w:rsid w:val="008F351D"/>
    <w:rsid w:val="009417CC"/>
    <w:rsid w:val="009A2983"/>
    <w:rsid w:val="009B09F8"/>
    <w:rsid w:val="009C546C"/>
    <w:rsid w:val="00A55048"/>
    <w:rsid w:val="00A64416"/>
    <w:rsid w:val="00AB2DBD"/>
    <w:rsid w:val="00AB3D38"/>
    <w:rsid w:val="00AD400D"/>
    <w:rsid w:val="00B06712"/>
    <w:rsid w:val="00B270DB"/>
    <w:rsid w:val="00B37C80"/>
    <w:rsid w:val="00B53098"/>
    <w:rsid w:val="00B615CE"/>
    <w:rsid w:val="00B918CC"/>
    <w:rsid w:val="00BA59F8"/>
    <w:rsid w:val="00BE6681"/>
    <w:rsid w:val="00C435E6"/>
    <w:rsid w:val="00C44C4D"/>
    <w:rsid w:val="00C512EE"/>
    <w:rsid w:val="00CA05C2"/>
    <w:rsid w:val="00CA4F2E"/>
    <w:rsid w:val="00CB55A0"/>
    <w:rsid w:val="00CD2A16"/>
    <w:rsid w:val="00CF351F"/>
    <w:rsid w:val="00D24B4D"/>
    <w:rsid w:val="00D57C98"/>
    <w:rsid w:val="00D86820"/>
    <w:rsid w:val="00DB0A56"/>
    <w:rsid w:val="00E408FE"/>
    <w:rsid w:val="00EC268D"/>
    <w:rsid w:val="00ED42DE"/>
    <w:rsid w:val="00F33B40"/>
    <w:rsid w:val="00F37ACB"/>
    <w:rsid w:val="00F718B0"/>
    <w:rsid w:val="00F84250"/>
    <w:rsid w:val="00F9075F"/>
    <w:rsid w:val="00FA12E1"/>
    <w:rsid w:val="00FA2BBF"/>
    <w:rsid w:val="00FC66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048"/>
  </w:style>
  <w:style w:type="paragraph" w:styleId="1">
    <w:name w:val="heading 1"/>
    <w:basedOn w:val="a"/>
    <w:next w:val="a"/>
    <w:link w:val="10"/>
    <w:qFormat/>
    <w:rsid w:val="00A64416"/>
    <w:pPr>
      <w:keepNext/>
      <w:spacing w:after="0" w:line="240" w:lineRule="auto"/>
      <w:ind w:firstLine="900"/>
      <w:jc w:val="both"/>
      <w:outlineLvl w:val="0"/>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4416"/>
    <w:rPr>
      <w:rFonts w:ascii="Times New Roman" w:eastAsia="Times New Roman" w:hAnsi="Times New Roman" w:cs="Times New Roman"/>
      <w:sz w:val="28"/>
      <w:szCs w:val="24"/>
      <w:lang w:val="uk-UA"/>
    </w:rPr>
  </w:style>
  <w:style w:type="paragraph" w:styleId="3">
    <w:name w:val="Body Text 3"/>
    <w:basedOn w:val="a"/>
    <w:link w:val="30"/>
    <w:rsid w:val="00A64416"/>
    <w:pPr>
      <w:spacing w:after="0" w:line="240" w:lineRule="auto"/>
      <w:jc w:val="center"/>
    </w:pPr>
    <w:rPr>
      <w:rFonts w:ascii="Times New Roman" w:eastAsia="Times New Roman" w:hAnsi="Times New Roman" w:cs="Times New Roman"/>
      <w:noProof/>
      <w:sz w:val="24"/>
      <w:szCs w:val="24"/>
    </w:rPr>
  </w:style>
  <w:style w:type="character" w:customStyle="1" w:styleId="30">
    <w:name w:val="Основной текст 3 Знак"/>
    <w:basedOn w:val="a0"/>
    <w:link w:val="3"/>
    <w:rsid w:val="00A64416"/>
    <w:rPr>
      <w:rFonts w:ascii="Times New Roman" w:eastAsia="Times New Roman" w:hAnsi="Times New Roman" w:cs="Times New Roman"/>
      <w:noProof/>
      <w:sz w:val="24"/>
      <w:szCs w:val="24"/>
    </w:rPr>
  </w:style>
  <w:style w:type="paragraph" w:styleId="a3">
    <w:name w:val="List Paragraph"/>
    <w:basedOn w:val="a"/>
    <w:uiPriority w:val="34"/>
    <w:qFormat/>
    <w:rsid w:val="00A64416"/>
    <w:pPr>
      <w:ind w:left="720"/>
      <w:contextualSpacing/>
    </w:pPr>
    <w:rPr>
      <w:rFonts w:ascii="Calibri" w:eastAsia="Times New Roman" w:hAnsi="Calibri" w:cs="Times New Roman"/>
    </w:rPr>
  </w:style>
  <w:style w:type="paragraph" w:styleId="a4">
    <w:name w:val="No Spacing"/>
    <w:uiPriority w:val="1"/>
    <w:qFormat/>
    <w:rsid w:val="00A64416"/>
    <w:pPr>
      <w:spacing w:after="0" w:line="240" w:lineRule="auto"/>
    </w:pPr>
    <w:rPr>
      <w:rFonts w:ascii="Times New Roman" w:eastAsia="Times New Roman" w:hAnsi="Times New Roman" w:cs="Times New Roman"/>
      <w:sz w:val="24"/>
      <w:szCs w:val="24"/>
    </w:r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6"/>
    <w:unhideWhenUsed/>
    <w:rsid w:val="00A64416"/>
    <w:pPr>
      <w:spacing w:after="120"/>
    </w:p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A64416"/>
  </w:style>
  <w:style w:type="character" w:styleId="a7">
    <w:name w:val="Hyperlink"/>
    <w:uiPriority w:val="99"/>
    <w:unhideWhenUsed/>
    <w:rsid w:val="00A64416"/>
    <w:rPr>
      <w:color w:val="0000FF"/>
      <w:u w:val="single"/>
    </w:rPr>
  </w:style>
  <w:style w:type="paragraph" w:customStyle="1" w:styleId="a8">
    <w:name w:val="Знак"/>
    <w:basedOn w:val="a"/>
    <w:uiPriority w:val="99"/>
    <w:rsid w:val="00AD400D"/>
    <w:pPr>
      <w:spacing w:after="0" w:line="240" w:lineRule="auto"/>
    </w:pPr>
    <w:rPr>
      <w:rFonts w:ascii="Verdana" w:eastAsia="Times New Roman" w:hAnsi="Verdana" w:cs="Verdana"/>
      <w:sz w:val="20"/>
      <w:szCs w:val="20"/>
      <w:lang w:val="en-US" w:eastAsia="en-US"/>
    </w:rPr>
  </w:style>
  <w:style w:type="table" w:styleId="a9">
    <w:name w:val="Table Grid"/>
    <w:basedOn w:val="a1"/>
    <w:uiPriority w:val="59"/>
    <w:rsid w:val="00AB2D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1332</Words>
  <Characters>7595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3</cp:revision>
  <cp:lastPrinted>2018-09-20T14:14:00Z</cp:lastPrinted>
  <dcterms:created xsi:type="dcterms:W3CDTF">2018-09-21T11:45:00Z</dcterms:created>
  <dcterms:modified xsi:type="dcterms:W3CDTF">2018-09-21T11:48:00Z</dcterms:modified>
</cp:coreProperties>
</file>