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52" w:rsidRDefault="00E21A52" w:rsidP="00E21A52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A52" w:rsidRPr="00210E9E" w:rsidRDefault="00E21A52" w:rsidP="00E21A52">
      <w:pPr>
        <w:jc w:val="center"/>
        <w:rPr>
          <w:b/>
          <w:bCs/>
          <w:sz w:val="16"/>
          <w:szCs w:val="16"/>
        </w:rPr>
      </w:pPr>
    </w:p>
    <w:p w:rsidR="00E21A52" w:rsidRPr="00C07481" w:rsidRDefault="00E21A52" w:rsidP="00E21A52">
      <w:pPr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21A52" w:rsidRPr="00210E9E" w:rsidRDefault="00E21A52" w:rsidP="00E21A52">
      <w:pPr>
        <w:spacing w:after="120"/>
        <w:jc w:val="center"/>
        <w:rPr>
          <w:b/>
          <w:bCs/>
          <w:sz w:val="16"/>
          <w:szCs w:val="16"/>
        </w:rPr>
      </w:pPr>
    </w:p>
    <w:p w:rsidR="00E21A52" w:rsidRPr="00B85722" w:rsidRDefault="00E21A52" w:rsidP="00E21A52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E21A52" w:rsidRPr="00C07481" w:rsidRDefault="00E21A52" w:rsidP="00E21A52">
      <w:pPr>
        <w:spacing w:after="120"/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3805B8" w:rsidRPr="00D05957" w:rsidTr="00DD75DE">
        <w:tc>
          <w:tcPr>
            <w:tcW w:w="1809" w:type="dxa"/>
            <w:shd w:val="clear" w:color="auto" w:fill="auto"/>
          </w:tcPr>
          <w:p w:rsidR="003805B8" w:rsidRDefault="003805B8" w:rsidP="00DD75D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3805B8" w:rsidRPr="00012101" w:rsidRDefault="003805B8" w:rsidP="00DD75D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22</w:t>
            </w:r>
            <w:r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3805B8" w:rsidRPr="009D51EA" w:rsidRDefault="003805B8" w:rsidP="00DD75D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805B8" w:rsidRDefault="003805B8" w:rsidP="00DD75D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3805B8" w:rsidRPr="00D05957" w:rsidRDefault="003805B8" w:rsidP="00015897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015897">
              <w:rPr>
                <w:b/>
                <w:bCs/>
                <w:sz w:val="28"/>
                <w:szCs w:val="24"/>
                <w:lang w:val="uk-UA"/>
              </w:rPr>
              <w:t>306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3805B8" w:rsidRPr="00AB39C6" w:rsidRDefault="003805B8" w:rsidP="003805B8">
      <w:pPr>
        <w:rPr>
          <w:sz w:val="28"/>
          <w:szCs w:val="28"/>
          <w:lang w:val="uk-UA"/>
        </w:rPr>
      </w:pPr>
    </w:p>
    <w:p w:rsidR="003805B8" w:rsidRDefault="003805B8" w:rsidP="003805B8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тимчасове влаштування </w:t>
      </w:r>
    </w:p>
    <w:p w:rsidR="003805B8" w:rsidRDefault="003805B8" w:rsidP="003805B8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неповнолітньої дитини </w:t>
      </w:r>
    </w:p>
    <w:p w:rsidR="003805B8" w:rsidRDefault="003805B8" w:rsidP="003805B8">
      <w:pPr>
        <w:rPr>
          <w:b/>
          <w:sz w:val="28"/>
          <w:lang w:val="uk-UA"/>
        </w:rPr>
      </w:pPr>
    </w:p>
    <w:p w:rsidR="003805B8" w:rsidRDefault="003805B8" w:rsidP="003805B8">
      <w:pPr>
        <w:pStyle w:val="4"/>
      </w:pPr>
      <w:r>
        <w:t xml:space="preserve">      Відповідно до законів України </w:t>
      </w:r>
      <w:r w:rsidR="00E21A52" w:rsidRPr="00E21A52">
        <w:t>«</w:t>
      </w:r>
      <w:r>
        <w:t>Про</w:t>
      </w:r>
      <w:r w:rsidR="00E21A52">
        <w:t xml:space="preserve"> місцеві державні адміністрації</w:t>
      </w:r>
      <w:r w:rsidR="00E21A52" w:rsidRPr="00E21A52">
        <w:t>»</w:t>
      </w:r>
      <w:r>
        <w:t xml:space="preserve">, </w:t>
      </w:r>
      <w:r w:rsidR="00E21A52" w:rsidRPr="00E21A52">
        <w:t>«</w:t>
      </w:r>
      <w: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E21A52" w:rsidRPr="00E21A52">
        <w:t>»</w:t>
      </w:r>
      <w:r>
        <w:t xml:space="preserve">, керуючись пунктами 5, 32, 45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заяви  </w:t>
      </w:r>
      <w:r w:rsidR="006B742E">
        <w:t>Особа 1</w:t>
      </w:r>
      <w:r>
        <w:t xml:space="preserve">, з метою захисту прав та законних інтересів неповнолітньої дитини </w:t>
      </w:r>
      <w:r w:rsidR="006B742E">
        <w:t>Особа 2 Конфіденційна інформація</w:t>
      </w:r>
      <w:r>
        <w:t>:</w:t>
      </w:r>
    </w:p>
    <w:p w:rsidR="003805B8" w:rsidRDefault="003805B8" w:rsidP="003805B8">
      <w:pPr>
        <w:pStyle w:val="4"/>
      </w:pPr>
      <w:r>
        <w:t xml:space="preserve">         1. Тимчасово влаштувати неповнолітню дитину </w:t>
      </w:r>
      <w:r w:rsidR="00342D9C">
        <w:t xml:space="preserve">Особа 2 </w:t>
      </w:r>
      <w:r>
        <w:t xml:space="preserve"> для проживання в сім’ї  </w:t>
      </w:r>
      <w:r w:rsidR="00342D9C">
        <w:t>Особа 1 Конфіденційна інформація</w:t>
      </w:r>
      <w:r>
        <w:t xml:space="preserve">, надавши  їй право представляти інтереси дитини в установах і організаціях всіх видів власності до прийняття рішення про її постійне влаштування. </w:t>
      </w:r>
    </w:p>
    <w:p w:rsidR="003805B8" w:rsidRDefault="003805B8" w:rsidP="003805B8">
      <w:pPr>
        <w:pStyle w:val="4"/>
      </w:pPr>
      <w:r>
        <w:t xml:space="preserve">         2. Службі у справах дітей </w:t>
      </w:r>
      <w:proofErr w:type="spellStart"/>
      <w:r>
        <w:t>Недригайлівської</w:t>
      </w:r>
      <w:proofErr w:type="spellEnd"/>
      <w:r>
        <w:t xml:space="preserve"> районної державної адміністрації (Іщенко Т.В.) ужити необхідних заходів для подальшого влаштування неповнолітньої </w:t>
      </w:r>
      <w:r w:rsidR="00342D9C">
        <w:t>Особа 2</w:t>
      </w:r>
      <w:r>
        <w:t xml:space="preserve">  до сімейних форм виховання.</w:t>
      </w:r>
    </w:p>
    <w:p w:rsidR="003805B8" w:rsidRDefault="003805B8" w:rsidP="003805B8">
      <w:pPr>
        <w:ind w:right="-6"/>
        <w:jc w:val="both"/>
        <w:rPr>
          <w:sz w:val="28"/>
          <w:szCs w:val="28"/>
          <w:lang w:val="uk-UA"/>
        </w:rPr>
      </w:pPr>
      <w:r w:rsidRPr="00E56E8A">
        <w:rPr>
          <w:lang w:val="uk-UA"/>
        </w:rPr>
        <w:t xml:space="preserve">    </w:t>
      </w:r>
      <w:r>
        <w:rPr>
          <w:lang w:val="uk-UA"/>
        </w:rPr>
        <w:t xml:space="preserve">   </w:t>
      </w:r>
      <w:r w:rsidRPr="00E56E8A">
        <w:rPr>
          <w:lang w:val="uk-UA"/>
        </w:rPr>
        <w:t xml:space="preserve">    </w:t>
      </w:r>
      <w:r w:rsidRPr="00E56E8A">
        <w:rPr>
          <w:sz w:val="28"/>
          <w:szCs w:val="28"/>
          <w:lang w:val="uk-UA"/>
        </w:rPr>
        <w:t>3</w:t>
      </w:r>
      <w:r w:rsidRPr="00E56E8A">
        <w:rPr>
          <w:sz w:val="28"/>
          <w:szCs w:val="28"/>
        </w:rPr>
        <w:t xml:space="preserve">. Контроль за </w:t>
      </w:r>
      <w:proofErr w:type="spellStart"/>
      <w:r w:rsidRPr="00E56E8A">
        <w:rPr>
          <w:sz w:val="28"/>
          <w:szCs w:val="28"/>
        </w:rPr>
        <w:t>виконанням</w:t>
      </w:r>
      <w:proofErr w:type="spellEnd"/>
      <w:r w:rsidRPr="00E56E8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цього </w:t>
      </w:r>
      <w:proofErr w:type="spellStart"/>
      <w:r w:rsidRPr="00E56E8A">
        <w:rPr>
          <w:sz w:val="28"/>
          <w:szCs w:val="28"/>
        </w:rPr>
        <w:t>розпорядження</w:t>
      </w:r>
      <w:proofErr w:type="spellEnd"/>
      <w:r w:rsidRPr="00E56E8A">
        <w:rPr>
          <w:sz w:val="28"/>
          <w:szCs w:val="28"/>
        </w:rPr>
        <w:t xml:space="preserve"> </w:t>
      </w:r>
      <w:proofErr w:type="spellStart"/>
      <w:r w:rsidRPr="00E56E8A">
        <w:rPr>
          <w:sz w:val="28"/>
          <w:szCs w:val="28"/>
        </w:rPr>
        <w:t>покласти</w:t>
      </w:r>
      <w:proofErr w:type="spellEnd"/>
      <w:r w:rsidRPr="00E56E8A">
        <w:rPr>
          <w:sz w:val="28"/>
          <w:szCs w:val="28"/>
        </w:rPr>
        <w:t xml:space="preserve"> на заступника </w:t>
      </w:r>
      <w:proofErr w:type="spellStart"/>
      <w:r w:rsidRPr="00E56E8A">
        <w:rPr>
          <w:sz w:val="28"/>
          <w:szCs w:val="28"/>
        </w:rPr>
        <w:t>голови</w:t>
      </w:r>
      <w:proofErr w:type="spellEnd"/>
      <w:r w:rsidRPr="00E56E8A">
        <w:rPr>
          <w:sz w:val="28"/>
          <w:szCs w:val="28"/>
        </w:rPr>
        <w:t xml:space="preserve"> </w:t>
      </w:r>
      <w:proofErr w:type="spellStart"/>
      <w:r w:rsidRPr="00E56E8A">
        <w:rPr>
          <w:sz w:val="28"/>
          <w:szCs w:val="28"/>
        </w:rPr>
        <w:t>Недригайлівської</w:t>
      </w:r>
      <w:proofErr w:type="spellEnd"/>
      <w:r w:rsidRPr="00E56E8A">
        <w:rPr>
          <w:sz w:val="28"/>
          <w:szCs w:val="28"/>
        </w:rPr>
        <w:t xml:space="preserve"> </w:t>
      </w:r>
      <w:proofErr w:type="spellStart"/>
      <w:r w:rsidRPr="00E56E8A">
        <w:rPr>
          <w:sz w:val="28"/>
          <w:szCs w:val="28"/>
        </w:rPr>
        <w:t>районної</w:t>
      </w:r>
      <w:proofErr w:type="spellEnd"/>
      <w:r w:rsidRPr="00E56E8A">
        <w:rPr>
          <w:sz w:val="28"/>
          <w:szCs w:val="28"/>
        </w:rPr>
        <w:t xml:space="preserve"> </w:t>
      </w:r>
      <w:proofErr w:type="spellStart"/>
      <w:r w:rsidRPr="00E56E8A">
        <w:rPr>
          <w:sz w:val="28"/>
          <w:szCs w:val="28"/>
        </w:rPr>
        <w:t>державної</w:t>
      </w:r>
      <w:proofErr w:type="spellEnd"/>
      <w:r w:rsidRPr="00E56E8A">
        <w:rPr>
          <w:sz w:val="28"/>
          <w:szCs w:val="28"/>
        </w:rPr>
        <w:t xml:space="preserve"> </w:t>
      </w:r>
      <w:proofErr w:type="spellStart"/>
      <w:r w:rsidRPr="00E56E8A">
        <w:rPr>
          <w:sz w:val="28"/>
          <w:szCs w:val="28"/>
        </w:rPr>
        <w:t>адміністрації</w:t>
      </w:r>
      <w:proofErr w:type="spellEnd"/>
      <w:r w:rsidRPr="00E56E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3805B8" w:rsidRDefault="003805B8" w:rsidP="003805B8">
      <w:pPr>
        <w:ind w:right="-6"/>
        <w:jc w:val="both"/>
        <w:rPr>
          <w:sz w:val="28"/>
          <w:szCs w:val="28"/>
          <w:lang w:val="uk-UA"/>
        </w:rPr>
      </w:pPr>
    </w:p>
    <w:p w:rsidR="003805B8" w:rsidRDefault="003805B8" w:rsidP="003805B8">
      <w:pPr>
        <w:ind w:right="-6"/>
        <w:jc w:val="both"/>
        <w:rPr>
          <w:sz w:val="28"/>
          <w:szCs w:val="28"/>
          <w:lang w:val="uk-UA"/>
        </w:rPr>
      </w:pPr>
    </w:p>
    <w:p w:rsidR="003805B8" w:rsidRPr="003805B8" w:rsidRDefault="003805B8" w:rsidP="003805B8">
      <w:pPr>
        <w:ind w:right="-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</w:t>
      </w:r>
      <w:r w:rsidR="00C85303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ДІХТЯР</w:t>
      </w:r>
    </w:p>
    <w:p w:rsidR="003805B8" w:rsidRDefault="003805B8" w:rsidP="003805B8">
      <w:pPr>
        <w:tabs>
          <w:tab w:val="left" w:pos="2734"/>
        </w:tabs>
        <w:rPr>
          <w:b/>
          <w:lang w:val="uk-UA"/>
        </w:rPr>
      </w:pPr>
      <w:r>
        <w:rPr>
          <w:b/>
          <w:lang w:val="uk-UA"/>
        </w:rPr>
        <w:tab/>
      </w:r>
    </w:p>
    <w:p w:rsidR="003805B8" w:rsidRDefault="003805B8" w:rsidP="003805B8">
      <w:pPr>
        <w:rPr>
          <w:b/>
          <w:lang w:val="uk-UA"/>
        </w:rPr>
      </w:pPr>
    </w:p>
    <w:p w:rsidR="003805B8" w:rsidRDefault="003805B8" w:rsidP="003805B8">
      <w:pPr>
        <w:rPr>
          <w:b/>
          <w:lang w:val="uk-UA"/>
        </w:rPr>
      </w:pPr>
    </w:p>
    <w:p w:rsidR="003805B8" w:rsidRDefault="003805B8" w:rsidP="003805B8">
      <w:pPr>
        <w:rPr>
          <w:b/>
          <w:lang w:val="uk-UA"/>
        </w:rPr>
      </w:pPr>
    </w:p>
    <w:sectPr w:rsidR="003805B8" w:rsidSect="00C244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5B8"/>
    <w:rsid w:val="00015897"/>
    <w:rsid w:val="00167270"/>
    <w:rsid w:val="001C5165"/>
    <w:rsid w:val="00342D9C"/>
    <w:rsid w:val="003805B8"/>
    <w:rsid w:val="00695459"/>
    <w:rsid w:val="006B742E"/>
    <w:rsid w:val="009F1661"/>
    <w:rsid w:val="00B64BDC"/>
    <w:rsid w:val="00C85303"/>
    <w:rsid w:val="00D02E09"/>
    <w:rsid w:val="00E21A52"/>
    <w:rsid w:val="00F5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805B8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805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3805B8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805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A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A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17</cp:revision>
  <cp:lastPrinted>2001-12-31T22:59:00Z</cp:lastPrinted>
  <dcterms:created xsi:type="dcterms:W3CDTF">2001-12-31T22:58:00Z</dcterms:created>
  <dcterms:modified xsi:type="dcterms:W3CDTF">2020-12-29T08:46:00Z</dcterms:modified>
</cp:coreProperties>
</file>