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47" w:rsidRDefault="00762B47" w:rsidP="00762B47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B47" w:rsidRPr="00762B47" w:rsidRDefault="00762B47" w:rsidP="00762B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B47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762B47" w:rsidRPr="00762B47" w:rsidRDefault="00762B47" w:rsidP="00762B47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62B47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762B47" w:rsidRPr="00762B47" w:rsidRDefault="00762B47" w:rsidP="00762B47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B47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Look w:val="04A0"/>
      </w:tblPr>
      <w:tblGrid>
        <w:gridCol w:w="9828"/>
      </w:tblGrid>
      <w:tr w:rsidR="00B31FA9" w:rsidRPr="00C220EA" w:rsidTr="00334422">
        <w:tc>
          <w:tcPr>
            <w:tcW w:w="9828" w:type="dxa"/>
          </w:tcPr>
          <w:tbl>
            <w:tblPr>
              <w:tblW w:w="5000" w:type="pct"/>
              <w:jc w:val="center"/>
              <w:tblLook w:val="01E0"/>
            </w:tblPr>
            <w:tblGrid>
              <w:gridCol w:w="2180"/>
              <w:gridCol w:w="5531"/>
              <w:gridCol w:w="1901"/>
            </w:tblGrid>
            <w:tr w:rsidR="007A6F68" w:rsidRPr="00BA0F3B" w:rsidTr="00D80178">
              <w:trPr>
                <w:jc w:val="center"/>
              </w:trPr>
              <w:tc>
                <w:tcPr>
                  <w:tcW w:w="1134" w:type="pct"/>
                  <w:tcBorders>
                    <w:bottom w:val="single" w:sz="4" w:space="0" w:color="auto"/>
                  </w:tcBorders>
                </w:tcPr>
                <w:p w:rsidR="007A6F68" w:rsidRPr="00BA0F3B" w:rsidRDefault="007A6F68" w:rsidP="00D80178">
                  <w:pPr>
                    <w:pStyle w:val="aa"/>
                    <w:tabs>
                      <w:tab w:val="left" w:pos="4680"/>
                      <w:tab w:val="left" w:pos="6804"/>
                    </w:tabs>
                    <w:ind w:left="1"/>
                    <w:jc w:val="left"/>
                    <w:rPr>
                      <w:sz w:val="28"/>
                      <w:szCs w:val="28"/>
                    </w:rPr>
                  </w:pPr>
                </w:p>
                <w:p w:rsidR="007A6F68" w:rsidRPr="00BA0F3B" w:rsidRDefault="007A6F68" w:rsidP="00D80178">
                  <w:pPr>
                    <w:pStyle w:val="aa"/>
                    <w:tabs>
                      <w:tab w:val="left" w:pos="4680"/>
                      <w:tab w:val="left" w:pos="6804"/>
                    </w:tabs>
                    <w:ind w:left="1"/>
                    <w:jc w:val="left"/>
                    <w:rPr>
                      <w:sz w:val="28"/>
                      <w:szCs w:val="28"/>
                    </w:rPr>
                  </w:pPr>
                  <w:r w:rsidRPr="00BA0F3B">
                    <w:rPr>
                      <w:sz w:val="28"/>
                      <w:szCs w:val="28"/>
                    </w:rPr>
                    <w:t>23.10.2019</w:t>
                  </w:r>
                </w:p>
              </w:tc>
              <w:tc>
                <w:tcPr>
                  <w:tcW w:w="2877" w:type="pct"/>
                  <w:shd w:val="clear" w:color="auto" w:fill="auto"/>
                </w:tcPr>
                <w:p w:rsidR="007A6F68" w:rsidRPr="00BA0F3B" w:rsidRDefault="007A6F68" w:rsidP="00D80178">
                  <w:pPr>
                    <w:pStyle w:val="aa"/>
                    <w:tabs>
                      <w:tab w:val="left" w:pos="4680"/>
                      <w:tab w:val="left" w:pos="6804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89" w:type="pct"/>
                  <w:tcBorders>
                    <w:bottom w:val="single" w:sz="4" w:space="0" w:color="auto"/>
                  </w:tcBorders>
                </w:tcPr>
                <w:p w:rsidR="007A6F68" w:rsidRPr="00BA0F3B" w:rsidRDefault="007A6F68" w:rsidP="00D80178">
                  <w:pPr>
                    <w:pStyle w:val="aa"/>
                    <w:tabs>
                      <w:tab w:val="left" w:pos="4680"/>
                      <w:tab w:val="left" w:pos="6804"/>
                    </w:tabs>
                    <w:rPr>
                      <w:sz w:val="28"/>
                      <w:szCs w:val="28"/>
                    </w:rPr>
                  </w:pPr>
                </w:p>
                <w:p w:rsidR="007A6F68" w:rsidRPr="00BA0F3B" w:rsidRDefault="007A6F68" w:rsidP="00B22187">
                  <w:pPr>
                    <w:pStyle w:val="aa"/>
                    <w:tabs>
                      <w:tab w:val="left" w:pos="4680"/>
                      <w:tab w:val="left" w:pos="6804"/>
                    </w:tabs>
                    <w:rPr>
                      <w:sz w:val="28"/>
                      <w:szCs w:val="28"/>
                    </w:rPr>
                  </w:pPr>
                  <w:r w:rsidRPr="00BA0F3B">
                    <w:rPr>
                      <w:sz w:val="28"/>
                      <w:szCs w:val="28"/>
                    </w:rPr>
                    <w:t xml:space="preserve">№ </w:t>
                  </w:r>
                  <w:r w:rsidR="00B22187" w:rsidRPr="00BA0F3B">
                    <w:rPr>
                      <w:sz w:val="28"/>
                      <w:szCs w:val="28"/>
                    </w:rPr>
                    <w:t>212</w:t>
                  </w:r>
                  <w:r w:rsidRPr="00BA0F3B">
                    <w:rPr>
                      <w:sz w:val="28"/>
                      <w:szCs w:val="28"/>
                    </w:rPr>
                    <w:t xml:space="preserve"> - ОД</w:t>
                  </w:r>
                </w:p>
              </w:tc>
            </w:tr>
          </w:tbl>
          <w:p w:rsidR="00BD4447" w:rsidRPr="00BA0F3B" w:rsidRDefault="00BD4447" w:rsidP="00CE3ED2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31FA9" w:rsidRPr="00CE3ED2" w:rsidRDefault="00B31FA9" w:rsidP="00CE3ED2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</w:t>
            </w:r>
            <w:r w:rsidR="00CE3ED2"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стан </w:t>
            </w:r>
            <w:r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виконання бюджету </w:t>
            </w:r>
          </w:p>
          <w:p w:rsidR="00B31FA9" w:rsidRPr="00CE3ED2" w:rsidRDefault="00CE3ED2" w:rsidP="00CE3ED2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Недригайлівського </w:t>
            </w:r>
            <w:r w:rsidR="00B31FA9"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району</w:t>
            </w:r>
          </w:p>
          <w:p w:rsidR="00334CEC" w:rsidRDefault="00CE3ED2" w:rsidP="00CE3ED2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9</w:t>
            </w:r>
            <w:r w:rsidR="00B31FA9"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місяців </w:t>
            </w:r>
            <w:r w:rsidR="00B31FA9" w:rsidRPr="00CE3E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2019 року</w:t>
            </w:r>
          </w:p>
          <w:p w:rsidR="00AA3D97" w:rsidRPr="00AA3D97" w:rsidRDefault="00AA3D97" w:rsidP="00CE3ED2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334CEC" w:rsidRPr="00C75566" w:rsidRDefault="00334CEC" w:rsidP="00C75566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66">
        <w:rPr>
          <w:rFonts w:ascii="Times New Roman" w:eastAsia="Times New Roman" w:hAnsi="Times New Roman" w:cs="Times New Roman"/>
          <w:sz w:val="28"/>
          <w:szCs w:val="28"/>
        </w:rPr>
        <w:t>За  9 місяців 2019 року  доходів загального фонду (без урахування  міжбюджетних трансфер</w:t>
      </w:r>
      <w:r w:rsidRPr="00C75566">
        <w:rPr>
          <w:rFonts w:ascii="Times New Roman" w:hAnsi="Times New Roman" w:cs="Times New Roman"/>
          <w:sz w:val="28"/>
          <w:szCs w:val="28"/>
        </w:rPr>
        <w:t>тів) надійшло 18413,2 тис. грн., в т.ч.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566">
        <w:rPr>
          <w:rFonts w:ascii="Times New Roman" w:eastAsia="Times New Roman" w:hAnsi="Times New Roman" w:cs="Times New Roman"/>
          <w:sz w:val="28"/>
          <w:szCs w:val="28"/>
        </w:rPr>
        <w:t>до районного бюджету – 8922,7 тис.грн. Затверджені показники по доходах в цілому по району виконані на 101,0 %, тобто додатково отримано 184,4 тис.грн. , в тому числі по районному бюджету перевиконання склало 302,4 тис.грн. – 103,5%. В порівнянні з  відповідним періодом 2018 року  надходження збільшились н</w:t>
      </w:r>
      <w:r w:rsidR="00BA0F3B">
        <w:rPr>
          <w:rFonts w:ascii="Times New Roman" w:eastAsia="Times New Roman" w:hAnsi="Times New Roman" w:cs="Times New Roman"/>
          <w:sz w:val="28"/>
          <w:szCs w:val="28"/>
        </w:rPr>
        <w:t>а 1808,6 тис.грн., або на 10,9%</w:t>
      </w:r>
      <w:r w:rsidRPr="00C75566">
        <w:rPr>
          <w:rFonts w:ascii="Times New Roman" w:eastAsia="Times New Roman" w:hAnsi="Times New Roman" w:cs="Times New Roman"/>
          <w:sz w:val="28"/>
          <w:szCs w:val="28"/>
        </w:rPr>
        <w:t>. По районному бюджету в порівнянні з минулим роком  приріст склав 13,1 %.</w:t>
      </w:r>
    </w:p>
    <w:p w:rsidR="00334CEC" w:rsidRPr="00C75566" w:rsidRDefault="00334CEC" w:rsidP="00C75566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75566">
        <w:rPr>
          <w:rFonts w:ascii="Times New Roman" w:eastAsia="Times New Roman" w:hAnsi="Times New Roman" w:cs="Times New Roman"/>
          <w:sz w:val="28"/>
          <w:szCs w:val="28"/>
        </w:rPr>
        <w:t>одатку на доходи фізичних осіб отримано 8484,3 тис.грн.</w:t>
      </w:r>
      <w:r w:rsidR="00BD4447" w:rsidRPr="00C7556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C75566">
        <w:rPr>
          <w:rFonts w:ascii="Times New Roman" w:eastAsia="Times New Roman" w:hAnsi="Times New Roman" w:cs="Times New Roman"/>
          <w:sz w:val="28"/>
          <w:szCs w:val="28"/>
        </w:rPr>
        <w:t xml:space="preserve"> виконання склало 101,0 % до затверджених показників, д</w:t>
      </w:r>
      <w:r w:rsidR="005A4B63" w:rsidRPr="00C75566">
        <w:rPr>
          <w:rFonts w:ascii="Times New Roman" w:hAnsi="Times New Roman" w:cs="Times New Roman"/>
          <w:sz w:val="28"/>
          <w:szCs w:val="28"/>
        </w:rPr>
        <w:t>одатково отримано 82,3 тис.грн.</w:t>
      </w:r>
      <w:r w:rsidRPr="00C75566">
        <w:rPr>
          <w:rFonts w:ascii="Times New Roman" w:eastAsia="Times New Roman" w:hAnsi="Times New Roman" w:cs="Times New Roman"/>
          <w:sz w:val="28"/>
          <w:szCs w:val="28"/>
        </w:rPr>
        <w:t xml:space="preserve"> В порівнянні з 2018 роком надходження збільшилися на 787,9 тис.грн., або на 10,2%.</w:t>
      </w:r>
    </w:p>
    <w:p w:rsidR="00334CEC" w:rsidRPr="00C75566" w:rsidRDefault="00334CEC" w:rsidP="00C75566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66">
        <w:rPr>
          <w:rFonts w:ascii="Times New Roman" w:eastAsia="Times New Roman" w:hAnsi="Times New Roman" w:cs="Times New Roman"/>
          <w:sz w:val="28"/>
          <w:szCs w:val="28"/>
        </w:rPr>
        <w:t>Плати за землю отримано 4483,3 тис.грн.</w:t>
      </w:r>
      <w:r w:rsidR="005A4B63" w:rsidRPr="00C755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5566">
        <w:rPr>
          <w:rFonts w:ascii="Times New Roman" w:eastAsia="Times New Roman" w:hAnsi="Times New Roman" w:cs="Times New Roman"/>
          <w:sz w:val="28"/>
          <w:szCs w:val="28"/>
        </w:rPr>
        <w:t xml:space="preserve"> що становить 97,5% до затверджених показників. В порівнянні з  відповідним періодом 2018 року  надходження зменшились на 163,9 тис.грн., або на 3,5 % .</w:t>
      </w:r>
    </w:p>
    <w:p w:rsidR="00334CEC" w:rsidRPr="00C75566" w:rsidRDefault="005A4B63" w:rsidP="00C7556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75566">
        <w:rPr>
          <w:rFonts w:ascii="Times New Roman" w:hAnsi="Times New Roman" w:cs="Times New Roman"/>
          <w:sz w:val="28"/>
          <w:szCs w:val="28"/>
        </w:rPr>
        <w:t xml:space="preserve">         </w:t>
      </w:r>
      <w:r w:rsidR="00334CEC" w:rsidRPr="00C75566">
        <w:rPr>
          <w:rFonts w:ascii="Times New Roman" w:hAnsi="Times New Roman" w:cs="Times New Roman"/>
          <w:sz w:val="28"/>
          <w:szCs w:val="28"/>
        </w:rPr>
        <w:t>Відповідно до статей 2,</w:t>
      </w:r>
      <w:r w:rsidRPr="00C75566">
        <w:rPr>
          <w:rFonts w:ascii="Times New Roman" w:hAnsi="Times New Roman" w:cs="Times New Roman"/>
          <w:sz w:val="28"/>
          <w:szCs w:val="28"/>
        </w:rPr>
        <w:t xml:space="preserve"> </w:t>
      </w:r>
      <w:r w:rsidR="00334CEC" w:rsidRPr="00C75566">
        <w:rPr>
          <w:rFonts w:ascii="Times New Roman" w:hAnsi="Times New Roman" w:cs="Times New Roman"/>
          <w:sz w:val="28"/>
          <w:szCs w:val="28"/>
        </w:rPr>
        <w:t>6,</w:t>
      </w:r>
      <w:r w:rsidRPr="00C75566">
        <w:rPr>
          <w:rFonts w:ascii="Times New Roman" w:hAnsi="Times New Roman" w:cs="Times New Roman"/>
          <w:sz w:val="28"/>
          <w:szCs w:val="28"/>
        </w:rPr>
        <w:t xml:space="preserve"> </w:t>
      </w:r>
      <w:r w:rsidR="00334CEC" w:rsidRPr="00C75566">
        <w:rPr>
          <w:rFonts w:ascii="Times New Roman" w:hAnsi="Times New Roman" w:cs="Times New Roman"/>
          <w:sz w:val="28"/>
          <w:szCs w:val="28"/>
        </w:rPr>
        <w:t>13,</w:t>
      </w:r>
      <w:r w:rsidRPr="00C75566">
        <w:rPr>
          <w:rFonts w:ascii="Times New Roman" w:hAnsi="Times New Roman" w:cs="Times New Roman"/>
          <w:sz w:val="28"/>
          <w:szCs w:val="28"/>
        </w:rPr>
        <w:t xml:space="preserve"> </w:t>
      </w:r>
      <w:r w:rsidR="00334CEC" w:rsidRPr="00C75566">
        <w:rPr>
          <w:rFonts w:ascii="Times New Roman" w:hAnsi="Times New Roman" w:cs="Times New Roman"/>
          <w:sz w:val="28"/>
          <w:szCs w:val="28"/>
        </w:rPr>
        <w:t>18,</w:t>
      </w:r>
      <w:r w:rsidRPr="00C75566">
        <w:rPr>
          <w:rFonts w:ascii="Times New Roman" w:hAnsi="Times New Roman" w:cs="Times New Roman"/>
          <w:sz w:val="28"/>
          <w:szCs w:val="28"/>
        </w:rPr>
        <w:t xml:space="preserve"> </w:t>
      </w:r>
      <w:r w:rsidR="00334CEC" w:rsidRPr="00C75566">
        <w:rPr>
          <w:rFonts w:ascii="Times New Roman" w:hAnsi="Times New Roman" w:cs="Times New Roman"/>
          <w:sz w:val="28"/>
          <w:szCs w:val="28"/>
        </w:rPr>
        <w:t>41 Закону України «Про місцеві державні адміністрації», статті 115 Бюджетного кодексу України, з метою забезпечення виконання дох</w:t>
      </w:r>
      <w:r w:rsidR="00040B2D" w:rsidRPr="00C75566">
        <w:rPr>
          <w:rFonts w:ascii="Times New Roman" w:hAnsi="Times New Roman" w:cs="Times New Roman"/>
          <w:sz w:val="28"/>
          <w:szCs w:val="28"/>
        </w:rPr>
        <w:t>і</w:t>
      </w:r>
      <w:r w:rsidR="00334CEC" w:rsidRPr="00C75566">
        <w:rPr>
          <w:rFonts w:ascii="Times New Roman" w:hAnsi="Times New Roman" w:cs="Times New Roman"/>
          <w:sz w:val="28"/>
          <w:szCs w:val="28"/>
        </w:rPr>
        <w:t>дної частини місцевих бюджетів району та збільшення надходжень до них, економного і раціонального використання бюджетних видатків, посилення бюджетної дисципліни і контролю за використанням бюджетних коштів:</w:t>
      </w:r>
    </w:p>
    <w:p w:rsidR="00432BE8" w:rsidRPr="00C75566" w:rsidRDefault="00432BE8" w:rsidP="00C75566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107D3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начальникові Недригайлівської державної податкової інспекції Роменського управління Головного управління </w:t>
      </w:r>
      <w:r w:rsidR="00E20ED6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="00BC2ED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податкової </w:t>
      </w:r>
      <w:r w:rsidR="00E20ED6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служби у</w:t>
      </w:r>
      <w:r w:rsidR="002107D3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Сумській області Подпрятову В.Г.</w:t>
      </w:r>
      <w:r w:rsidR="00E20ED6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7D3" w:rsidRPr="00C75566">
        <w:rPr>
          <w:rFonts w:ascii="Times New Roman" w:hAnsi="Times New Roman" w:cs="Times New Roman"/>
          <w:sz w:val="28"/>
          <w:szCs w:val="28"/>
          <w:lang w:val="uk-UA"/>
        </w:rPr>
        <w:t>забезпечити дієвий контроль за повнотою та своєчасністю надходжень платежів до бюджету усіх рівнів, приділивши особливу увагу сплаті орендної плати за користування землями запасу, резервного фонду та не витребуваних паїв</w:t>
      </w:r>
      <w:r w:rsidR="00A063F4" w:rsidRPr="00C755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63F4" w:rsidRPr="00C75566" w:rsidRDefault="00E20ED6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40F83" w:rsidRPr="00C75566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оловним розпорядникам коштів районного бюджету: </w:t>
      </w:r>
    </w:p>
    <w:p w:rsidR="00B31FA9" w:rsidRPr="00C75566" w:rsidRDefault="00B31FA9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</w:rPr>
        <w:t>1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75566">
        <w:rPr>
          <w:rFonts w:ascii="Times New Roman" w:hAnsi="Times New Roman" w:cs="Times New Roman"/>
          <w:sz w:val="28"/>
          <w:szCs w:val="28"/>
        </w:rPr>
        <w:t> 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постійно в</w:t>
      </w:r>
      <w:r w:rsidRPr="00C75566">
        <w:rPr>
          <w:rFonts w:ascii="Times New Roman" w:hAnsi="Times New Roman" w:cs="Times New Roman"/>
          <w:sz w:val="28"/>
          <w:szCs w:val="28"/>
        </w:rPr>
        <w:t>жи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Pr="00C75566">
        <w:rPr>
          <w:rFonts w:ascii="Times New Roman" w:hAnsi="Times New Roman" w:cs="Times New Roman"/>
          <w:sz w:val="28"/>
          <w:szCs w:val="28"/>
        </w:rPr>
        <w:t>ти заход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75566">
        <w:rPr>
          <w:rFonts w:ascii="Times New Roman" w:hAnsi="Times New Roman" w:cs="Times New Roman"/>
          <w:sz w:val="28"/>
          <w:szCs w:val="28"/>
        </w:rPr>
        <w:t xml:space="preserve"> щодо спрямування в першочерговому порядку </w:t>
      </w:r>
      <w:r w:rsidR="00C75566">
        <w:rPr>
          <w:rFonts w:ascii="Times New Roman" w:hAnsi="Times New Roman" w:cs="Times New Roman"/>
          <w:sz w:val="28"/>
          <w:szCs w:val="28"/>
        </w:rPr>
        <w:t xml:space="preserve"> </w:t>
      </w:r>
      <w:r w:rsidRPr="00C75566">
        <w:rPr>
          <w:rFonts w:ascii="Times New Roman" w:hAnsi="Times New Roman" w:cs="Times New Roman"/>
          <w:sz w:val="28"/>
          <w:szCs w:val="28"/>
        </w:rPr>
        <w:t>кошт</w:t>
      </w:r>
      <w:r w:rsidR="004A4C93" w:rsidRPr="00C75566">
        <w:rPr>
          <w:rFonts w:ascii="Times New Roman" w:hAnsi="Times New Roman" w:cs="Times New Roman"/>
          <w:sz w:val="28"/>
          <w:szCs w:val="28"/>
        </w:rPr>
        <w:t>ів на заробітну плату працівник</w:t>
      </w:r>
      <w:r w:rsidR="004A4C93" w:rsidRPr="00C7556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C75566">
        <w:rPr>
          <w:rFonts w:ascii="Times New Roman" w:hAnsi="Times New Roman" w:cs="Times New Roman"/>
          <w:sz w:val="28"/>
          <w:szCs w:val="28"/>
        </w:rPr>
        <w:t xml:space="preserve"> бюджетних установ, проведення розрахунків за енергоносії, комунальні послуги та послуги зв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C75566">
        <w:rPr>
          <w:rFonts w:ascii="Times New Roman" w:hAnsi="Times New Roman" w:cs="Times New Roman"/>
          <w:sz w:val="28"/>
          <w:szCs w:val="28"/>
        </w:rPr>
        <w:t>язку, що споживаються бюджетними установами, не допускаючи виникнення кредиторської заборгованості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94CFB" w:rsidRPr="00C75566" w:rsidRDefault="00B31FA9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4A4C93" w:rsidRPr="00C75566">
        <w:rPr>
          <w:rFonts w:ascii="Times New Roman" w:hAnsi="Times New Roman" w:cs="Times New Roman"/>
          <w:sz w:val="28"/>
          <w:szCs w:val="28"/>
          <w:lang w:val="uk-UA"/>
        </w:rPr>
        <w:t>забезпечувати дієвий контроль за дотриманням фінансово – бюджетної дисципліни</w:t>
      </w:r>
      <w:r w:rsidR="008B19B2" w:rsidRPr="00C755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4CFB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1FA9" w:rsidRPr="00C75566" w:rsidRDefault="005865F3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. Рекомендувати сільським</w:t>
      </w:r>
      <w:r w:rsidR="00161C70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, селищним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головам:</w:t>
      </w:r>
    </w:p>
    <w:p w:rsidR="00B31FA9" w:rsidRPr="00C75566" w:rsidRDefault="00B31FA9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5865F3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взяти під </w:t>
      </w:r>
      <w:r w:rsidR="00174847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особистий контроль виконання власних та закріплених джерел доходів та </w:t>
      </w:r>
      <w:r w:rsidR="00506FC2" w:rsidRPr="00C75566">
        <w:rPr>
          <w:rFonts w:ascii="Times New Roman" w:hAnsi="Times New Roman" w:cs="Times New Roman"/>
          <w:sz w:val="28"/>
          <w:szCs w:val="28"/>
          <w:lang w:val="uk-UA"/>
        </w:rPr>
        <w:t>щомісяця до 0</w:t>
      </w:r>
      <w:r w:rsidR="00A00C20" w:rsidRPr="00C75566">
        <w:rPr>
          <w:rFonts w:ascii="Times New Roman" w:hAnsi="Times New Roman" w:cs="Times New Roman"/>
          <w:sz w:val="28"/>
          <w:szCs w:val="28"/>
          <w:lang w:val="uk-UA"/>
        </w:rPr>
        <w:t>5 числа наступного за звітни</w:t>
      </w:r>
      <w:r w:rsidR="00303949" w:rsidRPr="00C7556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00C20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період</w:t>
      </w:r>
      <w:r w:rsidR="00303949" w:rsidRPr="00C75566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A00C20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75566">
        <w:rPr>
          <w:rFonts w:ascii="Times New Roman" w:hAnsi="Times New Roman" w:cs="Times New Roman"/>
          <w:bCs/>
          <w:sz w:val="28"/>
          <w:szCs w:val="28"/>
          <w:lang w:val="uk-UA"/>
        </w:rPr>
        <w:t>дійснювати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аналіз виконання дох</w:t>
      </w:r>
      <w:r w:rsidR="00BC2ED9" w:rsidRPr="00C7556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дної частини сільського</w:t>
      </w:r>
      <w:r w:rsidR="00161C70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, селищного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бюджету та вживати заходів щодо оперативного приведення дохідної частини у відповідність із фактичними надходженнями;</w:t>
      </w:r>
    </w:p>
    <w:p w:rsidR="00B31FA9" w:rsidRPr="00C75566" w:rsidRDefault="00174847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) перед включенням у проект рішення щодо внесення змін до сільського</w:t>
      </w:r>
      <w:r w:rsidR="009E52C6" w:rsidRPr="00C755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2C6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бюджету, погоджувати напрямки спрямування коштів вільного залишку та обсягів перевиконання дох</w:t>
      </w:r>
      <w:r w:rsidR="00BC2ED9" w:rsidRPr="00C7556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дної частини сільського</w:t>
      </w:r>
      <w:r w:rsidR="009E52C6" w:rsidRPr="00C75566">
        <w:rPr>
          <w:rFonts w:ascii="Times New Roman" w:hAnsi="Times New Roman" w:cs="Times New Roman"/>
          <w:sz w:val="28"/>
          <w:szCs w:val="28"/>
          <w:lang w:val="uk-UA"/>
        </w:rPr>
        <w:t>, селищного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бюджету з головою </w:t>
      </w:r>
      <w:r w:rsidR="009E52C6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адміністрації;</w:t>
      </w:r>
    </w:p>
    <w:p w:rsidR="00B31FA9" w:rsidRPr="00C75566" w:rsidRDefault="00174847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B10E0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B10E0" w:rsidRPr="00C75566">
        <w:rPr>
          <w:rFonts w:ascii="Times New Roman" w:hAnsi="Times New Roman" w:cs="Times New Roman"/>
          <w:sz w:val="28"/>
          <w:szCs w:val="28"/>
          <w:lang w:val="uk-UA"/>
        </w:rPr>
        <w:t>увати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повне фінансування захищених статей видатків сільських</w:t>
      </w:r>
      <w:r w:rsidR="009E52C6" w:rsidRPr="00C75566">
        <w:rPr>
          <w:rFonts w:ascii="Times New Roman" w:hAnsi="Times New Roman" w:cs="Times New Roman"/>
          <w:sz w:val="28"/>
          <w:szCs w:val="28"/>
          <w:lang w:val="uk-UA"/>
        </w:rPr>
        <w:t>, селищних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бюджетів та </w:t>
      </w:r>
      <w:r w:rsidR="007B10E0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вживати заходів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по економному та раціональному використанню бюджетних коштів.</w:t>
      </w:r>
    </w:p>
    <w:p w:rsidR="00B07672" w:rsidRPr="00C75566" w:rsidRDefault="00174847" w:rsidP="00C7556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E52C6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BC2ED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щомісячно до 10 числа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>своєчасне перерахування субвенцій на виконання заходів районних програм у відповідності до помісячного розпису сільського</w:t>
      </w:r>
      <w:r w:rsidR="003D2912" w:rsidRPr="00C755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52C6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бюджету.</w:t>
      </w:r>
    </w:p>
    <w:p w:rsidR="00FE177A" w:rsidRPr="00C75566" w:rsidRDefault="00B07672" w:rsidP="00A93C7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A0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4B7" w:rsidRPr="00C75566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E0D24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інансовому </w:t>
      </w:r>
      <w:r w:rsidR="00174847" w:rsidRPr="00C75566">
        <w:rPr>
          <w:rFonts w:ascii="Times New Roman" w:hAnsi="Times New Roman" w:cs="Times New Roman"/>
          <w:sz w:val="28"/>
          <w:szCs w:val="28"/>
          <w:lang w:val="uk-UA"/>
        </w:rPr>
        <w:t>управлінню Недригайлівської районної державної адміністрації постійно проводити аналіз виконання дохідної частини місцеви</w:t>
      </w:r>
      <w:r w:rsidR="002E04B7" w:rsidRPr="00C75566">
        <w:rPr>
          <w:rFonts w:ascii="Times New Roman" w:hAnsi="Times New Roman" w:cs="Times New Roman"/>
          <w:sz w:val="28"/>
          <w:szCs w:val="28"/>
          <w:lang w:val="uk-UA"/>
        </w:rPr>
        <w:t>х бюджетів та повний контроль за витрачанням бюджетних коштів</w:t>
      </w:r>
      <w:r w:rsidR="00FE177A" w:rsidRPr="00C755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029D" w:rsidRPr="00C75566" w:rsidRDefault="00FD029D" w:rsidP="00C75566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E177A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07672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  <w:r w:rsidR="00BA0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</w:t>
      </w:r>
      <w:r w:rsidR="00B07672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втратило чинність розпорядження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голови Недригайлівської районної державної адміністрації від 17.04.2019 №</w:t>
      </w:r>
      <w:r w:rsidR="00744F17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103-ОД </w:t>
      </w:r>
      <w:r w:rsidR="00744F17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«Про стан виконання бюджету Недригайлівського району  за </w:t>
      </w:r>
      <w:r w:rsidRPr="00C75566">
        <w:rPr>
          <w:rFonts w:ascii="Times New Roman" w:hAnsi="Times New Roman" w:cs="Times New Roman"/>
          <w:sz w:val="28"/>
          <w:szCs w:val="28"/>
        </w:rPr>
        <w:t>I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квартал </w:t>
      </w:r>
      <w:r w:rsidR="00744F17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75566">
        <w:rPr>
          <w:rFonts w:ascii="Times New Roman" w:hAnsi="Times New Roman" w:cs="Times New Roman"/>
          <w:sz w:val="28"/>
          <w:szCs w:val="28"/>
          <w:lang w:val="uk-UA"/>
        </w:rPr>
        <w:t>2019 року».</w:t>
      </w:r>
    </w:p>
    <w:p w:rsidR="00E02D93" w:rsidRPr="00C75566" w:rsidRDefault="00FC64E9" w:rsidP="00C75566">
      <w:pPr>
        <w:pStyle w:val="a8"/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B07672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B579A" w:rsidRPr="00C75566">
        <w:rPr>
          <w:rFonts w:ascii="Times New Roman" w:hAnsi="Times New Roman" w:cs="Times New Roman"/>
          <w:sz w:val="28"/>
          <w:szCs w:val="28"/>
        </w:rPr>
        <w:t>6</w:t>
      </w:r>
      <w:r w:rsidR="00744F17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</w:t>
      </w:r>
      <w:r w:rsidR="006155D5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B31FA9" w:rsidRPr="00C75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2D93" w:rsidRPr="00C75566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покласти на першого заступника голови Недригайлівської районної державної адміністрації </w:t>
      </w:r>
      <w:r w:rsidR="00AA5845" w:rsidRPr="00C75566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  </w:t>
      </w:r>
      <w:r w:rsidR="00E02D93" w:rsidRPr="00C75566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Васильченка О.І.</w:t>
      </w:r>
    </w:p>
    <w:p w:rsidR="00AA3D97" w:rsidRPr="00AA3D97" w:rsidRDefault="00AA3D97" w:rsidP="00AA3D97">
      <w:pPr>
        <w:rPr>
          <w:rFonts w:ascii="Times New Roman" w:hAnsi="Times New Roman"/>
          <w:sz w:val="26"/>
          <w:lang w:val="uk-UA"/>
        </w:rPr>
      </w:pPr>
    </w:p>
    <w:p w:rsidR="009E52C6" w:rsidRPr="00C75566" w:rsidRDefault="009E52C6" w:rsidP="00C75566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566">
        <w:rPr>
          <w:rFonts w:ascii="Times New Roman" w:hAnsi="Times New Roman" w:cs="Times New Roman"/>
          <w:b/>
          <w:sz w:val="28"/>
          <w:szCs w:val="28"/>
          <w:lang w:val="uk-UA"/>
        </w:rPr>
        <w:t>Тимчасово виконуючий</w:t>
      </w:r>
    </w:p>
    <w:p w:rsidR="00B31FA9" w:rsidRPr="00C75566" w:rsidRDefault="009E52C6" w:rsidP="00C75566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C75566">
        <w:rPr>
          <w:rFonts w:ascii="Times New Roman" w:hAnsi="Times New Roman" w:cs="Times New Roman"/>
          <w:b/>
          <w:sz w:val="28"/>
          <w:szCs w:val="28"/>
          <w:lang w:val="uk-UA"/>
        </w:rPr>
        <w:t>обов’язки г</w:t>
      </w:r>
      <w:r w:rsidR="00B31FA9" w:rsidRPr="00C75566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 w:rsidR="00E02D93" w:rsidRPr="00C755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                   </w:t>
      </w:r>
      <w:r w:rsidR="00BA0F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7E0D24" w:rsidRPr="00C755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E02D93" w:rsidRPr="00C755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Олексій ВАСИЛЬЧЕНКО</w:t>
      </w:r>
    </w:p>
    <w:p w:rsidR="00B31FA9" w:rsidRPr="00412CAF" w:rsidRDefault="00B31FA9" w:rsidP="00B31FA9">
      <w:pPr>
        <w:tabs>
          <w:tab w:val="left" w:pos="7020"/>
        </w:tabs>
        <w:jc w:val="both"/>
        <w:rPr>
          <w:sz w:val="28"/>
          <w:szCs w:val="28"/>
          <w:lang w:val="uk-UA"/>
        </w:rPr>
      </w:pPr>
    </w:p>
    <w:p w:rsidR="00AC7364" w:rsidRDefault="00AC7364"/>
    <w:sectPr w:rsidR="00AC7364" w:rsidSect="00BA0F3B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2BA" w:rsidRDefault="006E42BA" w:rsidP="006A6297">
      <w:pPr>
        <w:spacing w:after="0" w:line="240" w:lineRule="auto"/>
      </w:pPr>
      <w:r>
        <w:separator/>
      </w:r>
    </w:p>
  </w:endnote>
  <w:endnote w:type="continuationSeparator" w:id="1">
    <w:p w:rsidR="006E42BA" w:rsidRDefault="006E42BA" w:rsidP="006A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2BA" w:rsidRDefault="006E42BA" w:rsidP="006A6297">
      <w:pPr>
        <w:spacing w:after="0" w:line="240" w:lineRule="auto"/>
      </w:pPr>
      <w:r>
        <w:separator/>
      </w:r>
    </w:p>
  </w:footnote>
  <w:footnote w:type="continuationSeparator" w:id="1">
    <w:p w:rsidR="006E42BA" w:rsidRDefault="006E42BA" w:rsidP="006A6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EE" w:rsidRDefault="003E485C" w:rsidP="00000F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73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25EE" w:rsidRDefault="006E42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5EE" w:rsidRDefault="003E485C" w:rsidP="00000F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73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2B47">
      <w:rPr>
        <w:rStyle w:val="a5"/>
        <w:noProof/>
      </w:rPr>
      <w:t>2</w:t>
    </w:r>
    <w:r>
      <w:rPr>
        <w:rStyle w:val="a5"/>
      </w:rPr>
      <w:fldChar w:fldCharType="end"/>
    </w:r>
  </w:p>
  <w:p w:rsidR="000925EE" w:rsidRDefault="006E42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90492"/>
    <w:multiLevelType w:val="hybridMultilevel"/>
    <w:tmpl w:val="B8D8A40E"/>
    <w:lvl w:ilvl="0" w:tplc="34C4A6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1FA9"/>
    <w:rsid w:val="00040B2D"/>
    <w:rsid w:val="0007182C"/>
    <w:rsid w:val="000C05DB"/>
    <w:rsid w:val="000C5E3C"/>
    <w:rsid w:val="00161C70"/>
    <w:rsid w:val="001649C8"/>
    <w:rsid w:val="0016722F"/>
    <w:rsid w:val="00174847"/>
    <w:rsid w:val="002107D3"/>
    <w:rsid w:val="00292496"/>
    <w:rsid w:val="002E04B7"/>
    <w:rsid w:val="00303949"/>
    <w:rsid w:val="00334CEC"/>
    <w:rsid w:val="00363868"/>
    <w:rsid w:val="00370E40"/>
    <w:rsid w:val="003D2912"/>
    <w:rsid w:val="003D75C3"/>
    <w:rsid w:val="003E485C"/>
    <w:rsid w:val="003E4ED5"/>
    <w:rsid w:val="00432BE8"/>
    <w:rsid w:val="004344D5"/>
    <w:rsid w:val="004A4C93"/>
    <w:rsid w:val="00506FC2"/>
    <w:rsid w:val="00517A9D"/>
    <w:rsid w:val="00583675"/>
    <w:rsid w:val="005865F3"/>
    <w:rsid w:val="005A4B63"/>
    <w:rsid w:val="005B579A"/>
    <w:rsid w:val="006155D5"/>
    <w:rsid w:val="006A6297"/>
    <w:rsid w:val="006B15A9"/>
    <w:rsid w:val="006E42BA"/>
    <w:rsid w:val="00744F17"/>
    <w:rsid w:val="00762B47"/>
    <w:rsid w:val="007A6F68"/>
    <w:rsid w:val="007B10E0"/>
    <w:rsid w:val="007E0D24"/>
    <w:rsid w:val="008B19B2"/>
    <w:rsid w:val="008F2D55"/>
    <w:rsid w:val="0098612F"/>
    <w:rsid w:val="009E52C6"/>
    <w:rsid w:val="009E5EC9"/>
    <w:rsid w:val="00A00C20"/>
    <w:rsid w:val="00A063F4"/>
    <w:rsid w:val="00A51408"/>
    <w:rsid w:val="00A93C78"/>
    <w:rsid w:val="00AA3D97"/>
    <w:rsid w:val="00AA5845"/>
    <w:rsid w:val="00AB1E91"/>
    <w:rsid w:val="00AC21D4"/>
    <w:rsid w:val="00AC7364"/>
    <w:rsid w:val="00B07672"/>
    <w:rsid w:val="00B22187"/>
    <w:rsid w:val="00B248C7"/>
    <w:rsid w:val="00B31FA9"/>
    <w:rsid w:val="00B57887"/>
    <w:rsid w:val="00BA0F3B"/>
    <w:rsid w:val="00BC2ED9"/>
    <w:rsid w:val="00BD4447"/>
    <w:rsid w:val="00C55673"/>
    <w:rsid w:val="00C63187"/>
    <w:rsid w:val="00C75566"/>
    <w:rsid w:val="00C95507"/>
    <w:rsid w:val="00CC12CB"/>
    <w:rsid w:val="00CE3ED2"/>
    <w:rsid w:val="00D40F83"/>
    <w:rsid w:val="00D94CFB"/>
    <w:rsid w:val="00E02D93"/>
    <w:rsid w:val="00E20ED6"/>
    <w:rsid w:val="00E756BA"/>
    <w:rsid w:val="00EA0462"/>
    <w:rsid w:val="00EA586A"/>
    <w:rsid w:val="00EF75E1"/>
    <w:rsid w:val="00F87EDB"/>
    <w:rsid w:val="00FA5058"/>
    <w:rsid w:val="00FC64E9"/>
    <w:rsid w:val="00FD029D"/>
    <w:rsid w:val="00FE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1FA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Верхний колонтитул Знак"/>
    <w:basedOn w:val="a0"/>
    <w:link w:val="a3"/>
    <w:rsid w:val="00B31FA9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page number"/>
    <w:basedOn w:val="a0"/>
    <w:rsid w:val="00B31FA9"/>
  </w:style>
  <w:style w:type="paragraph" w:styleId="a6">
    <w:name w:val="Balloon Text"/>
    <w:basedOn w:val="a"/>
    <w:link w:val="a7"/>
    <w:uiPriority w:val="99"/>
    <w:semiHidden/>
    <w:unhideWhenUsed/>
    <w:rsid w:val="00B31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1FA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E3ED2"/>
    <w:pPr>
      <w:spacing w:after="0" w:line="240" w:lineRule="auto"/>
    </w:pPr>
  </w:style>
  <w:style w:type="paragraph" w:styleId="3">
    <w:name w:val="Body Text Indent 3"/>
    <w:basedOn w:val="a"/>
    <w:link w:val="30"/>
    <w:rsid w:val="00334CE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pacing w:val="8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334CEC"/>
    <w:rPr>
      <w:rFonts w:ascii="Times New Roman" w:eastAsia="Times New Roman" w:hAnsi="Times New Roman" w:cs="Times New Roman"/>
      <w:spacing w:val="8"/>
      <w:sz w:val="28"/>
      <w:szCs w:val="20"/>
      <w:lang w:val="uk-UA"/>
    </w:rPr>
  </w:style>
  <w:style w:type="paragraph" w:customStyle="1" w:styleId="a9">
    <w:name w:val="Абзац списку"/>
    <w:basedOn w:val="a"/>
    <w:qFormat/>
    <w:rsid w:val="00FD029D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customStyle="1" w:styleId="aa">
    <w:name w:val="заголов"/>
    <w:basedOn w:val="a"/>
    <w:rsid w:val="007A6F6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38</cp:revision>
  <cp:lastPrinted>2019-10-25T07:04:00Z</cp:lastPrinted>
  <dcterms:created xsi:type="dcterms:W3CDTF">2019-10-21T12:06:00Z</dcterms:created>
  <dcterms:modified xsi:type="dcterms:W3CDTF">2019-10-25T10:37:00Z</dcterms:modified>
</cp:coreProperties>
</file>